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AA18" w14:textId="1CDF9FAC" w:rsidR="00AC66D8" w:rsidRDefault="00524BE3" w:rsidP="00073040">
      <w:pPr>
        <w:ind w:firstLine="708"/>
        <w:rPr>
          <w:rFonts w:ascii="Century Gothic" w:hAnsi="Century Gothic"/>
          <w:b/>
          <w:bCs/>
          <w:sz w:val="28"/>
          <w:szCs w:val="28"/>
          <w:lang w:val="en-GB"/>
        </w:rPr>
      </w:pPr>
      <w:r w:rsidRPr="00DC5048">
        <w:rPr>
          <w:rFonts w:ascii="Century Gothic" w:hAnsi="Century Gothic"/>
          <w:b/>
          <w:bCs/>
          <w:sz w:val="28"/>
          <w:szCs w:val="28"/>
          <w:lang w:val="en-GB"/>
        </w:rPr>
        <w:t xml:space="preserve">CHECKLIST FOR PROCUREMENT. </w:t>
      </w:r>
      <w:r w:rsidR="00913097">
        <w:rPr>
          <w:rFonts w:ascii="Century Gothic" w:hAnsi="Century Gothic"/>
          <w:b/>
          <w:bCs/>
          <w:sz w:val="28"/>
          <w:szCs w:val="28"/>
          <w:lang w:val="en-GB"/>
        </w:rPr>
        <w:t xml:space="preserve">CONTRACTS </w:t>
      </w:r>
      <w:r w:rsidR="00E20B61">
        <w:rPr>
          <w:rFonts w:ascii="Century Gothic" w:hAnsi="Century Gothic"/>
          <w:b/>
          <w:bCs/>
          <w:sz w:val="28"/>
          <w:szCs w:val="28"/>
          <w:lang w:val="en-GB"/>
        </w:rPr>
        <w:t>FROM EUR 2</w:t>
      </w:r>
      <w:r w:rsidR="0086114E">
        <w:rPr>
          <w:rFonts w:ascii="Century Gothic" w:hAnsi="Century Gothic"/>
          <w:b/>
          <w:bCs/>
          <w:sz w:val="28"/>
          <w:szCs w:val="28"/>
          <w:lang w:val="en-GB"/>
        </w:rPr>
        <w:t>.</w:t>
      </w:r>
      <w:r w:rsidR="00E20B61">
        <w:rPr>
          <w:rFonts w:ascii="Century Gothic" w:hAnsi="Century Gothic"/>
          <w:b/>
          <w:bCs/>
          <w:sz w:val="28"/>
          <w:szCs w:val="28"/>
          <w:lang w:val="en-GB"/>
        </w:rPr>
        <w:t xml:space="preserve">500 </w:t>
      </w:r>
      <w:r w:rsidR="00913097">
        <w:rPr>
          <w:rFonts w:ascii="Century Gothic" w:hAnsi="Century Gothic"/>
          <w:b/>
          <w:bCs/>
          <w:sz w:val="28"/>
          <w:szCs w:val="28"/>
          <w:lang w:val="en-GB"/>
        </w:rPr>
        <w:t>TO EUR 20</w:t>
      </w:r>
      <w:r w:rsidR="0086114E">
        <w:rPr>
          <w:rFonts w:ascii="Century Gothic" w:hAnsi="Century Gothic"/>
          <w:b/>
          <w:bCs/>
          <w:sz w:val="28"/>
          <w:szCs w:val="28"/>
          <w:lang w:val="en-GB"/>
        </w:rPr>
        <w:t>.</w:t>
      </w:r>
      <w:r w:rsidR="00913097">
        <w:rPr>
          <w:rFonts w:ascii="Century Gothic" w:hAnsi="Century Gothic"/>
          <w:b/>
          <w:bCs/>
          <w:sz w:val="28"/>
          <w:szCs w:val="28"/>
          <w:lang w:val="en-GB"/>
        </w:rPr>
        <w:t>000</w:t>
      </w:r>
      <w:r w:rsidR="00814ACB">
        <w:rPr>
          <w:rFonts w:ascii="Century Gothic" w:hAnsi="Century Gothic"/>
          <w:b/>
          <w:bCs/>
          <w:sz w:val="28"/>
          <w:szCs w:val="28"/>
          <w:lang w:val="en-GB"/>
        </w:rPr>
        <w:t xml:space="preserve"> (single tender)</w:t>
      </w:r>
      <w:r w:rsidR="001144D9">
        <w:rPr>
          <w:rStyle w:val="Odwoanieprzypisudolnego"/>
          <w:rFonts w:ascii="Century Gothic" w:hAnsi="Century Gothic"/>
          <w:b/>
          <w:bCs/>
          <w:sz w:val="28"/>
          <w:szCs w:val="28"/>
          <w:lang w:val="en-GB"/>
        </w:rPr>
        <w:footnoteReference w:id="1"/>
      </w:r>
    </w:p>
    <w:p w14:paraId="0A171F3C" w14:textId="6A2592DE" w:rsidR="003573EB" w:rsidRPr="007C4813" w:rsidRDefault="003573EB" w:rsidP="007C4813">
      <w:pPr>
        <w:jc w:val="both"/>
        <w:rPr>
          <w:rFonts w:ascii="Century Gothic" w:hAnsi="Century Gothic"/>
          <w:sz w:val="20"/>
          <w:szCs w:val="20"/>
          <w:lang w:val="en-GB"/>
        </w:rPr>
      </w:pPr>
      <w:r w:rsidRPr="007C4813">
        <w:rPr>
          <w:rFonts w:ascii="Century Gothic" w:hAnsi="Century Gothic"/>
          <w:sz w:val="20"/>
          <w:szCs w:val="20"/>
          <w:lang w:val="en-GB"/>
        </w:rPr>
        <w:t xml:space="preserve">The </w:t>
      </w:r>
      <w:r w:rsidR="00614604">
        <w:rPr>
          <w:rFonts w:ascii="Century Gothic" w:hAnsi="Century Gothic"/>
          <w:sz w:val="20"/>
          <w:szCs w:val="20"/>
          <w:lang w:val="en-GB"/>
        </w:rPr>
        <w:t>questions include</w:t>
      </w:r>
      <w:r w:rsidR="0085572A">
        <w:rPr>
          <w:rFonts w:ascii="Century Gothic" w:hAnsi="Century Gothic"/>
          <w:sz w:val="20"/>
          <w:szCs w:val="20"/>
          <w:lang w:val="en-GB"/>
        </w:rPr>
        <w:t>, when relevant,</w:t>
      </w:r>
      <w:r w:rsidR="00614604">
        <w:rPr>
          <w:rFonts w:ascii="Century Gothic" w:hAnsi="Century Gothic"/>
          <w:sz w:val="20"/>
          <w:szCs w:val="20"/>
          <w:lang w:val="en-GB"/>
        </w:rPr>
        <w:t xml:space="preserve"> a</w:t>
      </w:r>
      <w:r w:rsidR="0085572A">
        <w:rPr>
          <w:rFonts w:ascii="Century Gothic" w:hAnsi="Century Gothic"/>
          <w:sz w:val="20"/>
          <w:szCs w:val="20"/>
          <w:lang w:val="en-GB"/>
        </w:rPr>
        <w:t xml:space="preserve"> cross-reference with the </w:t>
      </w:r>
      <w:r w:rsidRPr="007C4813">
        <w:rPr>
          <w:rFonts w:ascii="Century Gothic" w:hAnsi="Century Gothic"/>
          <w:sz w:val="20"/>
          <w:szCs w:val="20"/>
          <w:lang w:val="en-GB"/>
        </w:rPr>
        <w:t xml:space="preserve">potential type of irregularity </w:t>
      </w:r>
      <w:r w:rsidR="0085572A">
        <w:rPr>
          <w:rFonts w:ascii="Century Gothic" w:hAnsi="Century Gothic"/>
          <w:sz w:val="20"/>
          <w:szCs w:val="20"/>
          <w:lang w:val="en-GB"/>
        </w:rPr>
        <w:t>indicated in the</w:t>
      </w:r>
      <w:r w:rsidRPr="007C4813">
        <w:rPr>
          <w:rFonts w:ascii="Century Gothic" w:hAnsi="Century Gothic"/>
          <w:sz w:val="20"/>
          <w:szCs w:val="20"/>
          <w:lang w:val="en-GB"/>
        </w:rPr>
        <w:t xml:space="preserve"> Commission Decision of 14/5/2019</w:t>
      </w:r>
      <w:r w:rsidR="00B64EC3" w:rsidRPr="007C4813">
        <w:rPr>
          <w:rFonts w:ascii="Century Gothic" w:hAnsi="Century Gothic"/>
          <w:sz w:val="20"/>
          <w:szCs w:val="20"/>
          <w:lang w:val="en-GB"/>
        </w:rPr>
        <w:t xml:space="preserve"> laying down the guidelines for determining financial corrections to be made to expenditure financed by the Union for non-compliance with the applicable rules on public procurement.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0426"/>
      </w:tblGrid>
      <w:tr w:rsidR="00F07009" w14:paraId="710C17DB" w14:textId="77777777" w:rsidTr="009A106F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F868508" w14:textId="011A3379" w:rsidR="00F07009" w:rsidRPr="00AD58B7" w:rsidRDefault="00AD58B7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AD58B7">
              <w:rPr>
                <w:rFonts w:ascii="Century Gothic" w:hAnsi="Century Gothic"/>
                <w:b/>
                <w:bCs/>
                <w:lang w:val="en-GB"/>
              </w:rPr>
              <w:t>Name of the controller</w:t>
            </w:r>
          </w:p>
        </w:tc>
        <w:tc>
          <w:tcPr>
            <w:tcW w:w="10426" w:type="dxa"/>
            <w:vAlign w:val="center"/>
          </w:tcPr>
          <w:p w14:paraId="26AA5F05" w14:textId="77777777" w:rsidR="00F07009" w:rsidRDefault="00F07009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</w:tc>
      </w:tr>
      <w:tr w:rsidR="00F07009" w14:paraId="2D36BDB9" w14:textId="77777777" w:rsidTr="009A106F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7FC32FA" w14:textId="3B65C584" w:rsidR="00F07009" w:rsidRPr="00AD58B7" w:rsidRDefault="00AD58B7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AD58B7">
              <w:rPr>
                <w:rFonts w:ascii="Century Gothic" w:hAnsi="Century Gothic"/>
                <w:b/>
                <w:bCs/>
                <w:lang w:val="en-GB"/>
              </w:rPr>
              <w:t>Institution / Audit firm</w:t>
            </w:r>
          </w:p>
        </w:tc>
        <w:tc>
          <w:tcPr>
            <w:tcW w:w="10426" w:type="dxa"/>
            <w:vAlign w:val="center"/>
          </w:tcPr>
          <w:p w14:paraId="213C9BEE" w14:textId="77777777" w:rsidR="00F07009" w:rsidRDefault="00F07009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</w:tc>
      </w:tr>
    </w:tbl>
    <w:p w14:paraId="19709781" w14:textId="77777777" w:rsidR="00F07009" w:rsidRPr="00AD58B7" w:rsidRDefault="00F07009" w:rsidP="00D2208D">
      <w:pPr>
        <w:spacing w:after="0"/>
        <w:rPr>
          <w:rFonts w:ascii="Century Gothic" w:hAnsi="Century Gothic"/>
          <w:b/>
          <w:bCs/>
          <w:sz w:val="20"/>
          <w:szCs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2"/>
        <w:gridCol w:w="9292"/>
      </w:tblGrid>
      <w:tr w:rsidR="00F77806" w:rsidRPr="00DC5048" w14:paraId="02BCDF4B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50B6BDEF" w14:textId="3E1ED2DC" w:rsidR="00F77806" w:rsidRPr="00F957B6" w:rsidRDefault="00DC5048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Project number</w:t>
            </w:r>
            <w:r w:rsidR="00430E33">
              <w:rPr>
                <w:rFonts w:ascii="Century Gothic" w:hAnsi="Century Gothic"/>
                <w:b/>
                <w:bCs/>
                <w:lang w:val="en-GB"/>
              </w:rPr>
              <w:t xml:space="preserve"> and title</w:t>
            </w:r>
            <w:r w:rsidRPr="00F957B6">
              <w:rPr>
                <w:rFonts w:ascii="Century Gothic" w:hAnsi="Century Gothic"/>
                <w:b/>
                <w:bCs/>
                <w:lang w:val="en-GB"/>
              </w:rPr>
              <w:t>:</w:t>
            </w:r>
          </w:p>
        </w:tc>
        <w:tc>
          <w:tcPr>
            <w:tcW w:w="9292" w:type="dxa"/>
            <w:vAlign w:val="center"/>
          </w:tcPr>
          <w:p w14:paraId="0DA15EC2" w14:textId="77777777" w:rsidR="00F77806" w:rsidRPr="00DC5048" w:rsidRDefault="00F77806" w:rsidP="00D444CB">
            <w:pPr>
              <w:spacing w:before="40" w:after="40"/>
              <w:rPr>
                <w:rFonts w:ascii="Century Gothic" w:hAnsi="Century Gothic"/>
                <w:lang w:val="en-GB"/>
              </w:rPr>
            </w:pPr>
          </w:p>
        </w:tc>
      </w:tr>
      <w:tr w:rsidR="00430E33" w:rsidRPr="00DC5048" w14:paraId="38EF9C1A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22CEF72C" w14:textId="6E97CED9" w:rsidR="00430E33" w:rsidRPr="00F957B6" w:rsidRDefault="00430E33" w:rsidP="00430E33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Name of beneficiary:</w:t>
            </w:r>
          </w:p>
        </w:tc>
        <w:tc>
          <w:tcPr>
            <w:tcW w:w="9292" w:type="dxa"/>
            <w:vAlign w:val="center"/>
          </w:tcPr>
          <w:p w14:paraId="78ED0BEE" w14:textId="77777777" w:rsidR="00430E33" w:rsidRPr="00DC5048" w:rsidRDefault="00430E33" w:rsidP="00430E33">
            <w:pPr>
              <w:spacing w:before="40" w:after="40"/>
              <w:rPr>
                <w:rFonts w:ascii="Century Gothic" w:hAnsi="Century Gothic"/>
                <w:lang w:val="en-GB"/>
              </w:rPr>
            </w:pPr>
          </w:p>
        </w:tc>
      </w:tr>
      <w:tr w:rsidR="003E3129" w:rsidRPr="00DC5048" w14:paraId="75F11105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107F49EA" w14:textId="4F98264F" w:rsidR="003E3129" w:rsidRPr="00F957B6" w:rsidRDefault="003E3129" w:rsidP="00430E33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 xml:space="preserve">Is it </w:t>
            </w:r>
            <w:r w:rsidR="0067793D">
              <w:rPr>
                <w:rFonts w:ascii="Century Gothic" w:hAnsi="Century Gothic"/>
                <w:b/>
                <w:bCs/>
                <w:lang w:val="en-GB"/>
              </w:rPr>
              <w:t>a</w:t>
            </w:r>
            <w:r>
              <w:rPr>
                <w:rFonts w:ascii="Century Gothic" w:hAnsi="Century Gothic"/>
                <w:b/>
                <w:bCs/>
                <w:lang w:val="en-GB"/>
              </w:rPr>
              <w:t xml:space="preserve"> joint procurement with other project beneficiaries</w:t>
            </w:r>
            <w:r w:rsidR="0067793D">
              <w:rPr>
                <w:rFonts w:ascii="Century Gothic" w:hAnsi="Century Gothic"/>
                <w:b/>
                <w:bCs/>
                <w:lang w:val="en-GB"/>
              </w:rPr>
              <w:t>?</w:t>
            </w:r>
            <w:r w:rsidR="003F656E">
              <w:rPr>
                <w:rStyle w:val="Odwoanieprzypisudolnego"/>
                <w:rFonts w:ascii="Century Gothic" w:hAnsi="Century Gothic"/>
                <w:b/>
                <w:bCs/>
                <w:lang w:val="en-GB"/>
              </w:rPr>
              <w:footnoteReference w:id="2"/>
            </w:r>
          </w:p>
        </w:tc>
        <w:tc>
          <w:tcPr>
            <w:tcW w:w="9292" w:type="dxa"/>
            <w:vAlign w:val="center"/>
          </w:tcPr>
          <w:p w14:paraId="7E434668" w14:textId="5C49DB79" w:rsidR="003E3129" w:rsidRPr="00DC5048" w:rsidRDefault="0067793D" w:rsidP="00430E33">
            <w:pPr>
              <w:spacing w:before="40" w:after="40"/>
              <w:rPr>
                <w:rFonts w:ascii="Century Gothic" w:hAnsi="Century Gothic"/>
                <w:lang w:val="en-GB"/>
              </w:rPr>
            </w:pPr>
            <w:r w:rsidRPr="003440B9">
              <w:rPr>
                <w:rFonts w:ascii="Century Gothic" w:hAnsi="Century Gothic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40B9">
              <w:rPr>
                <w:rFonts w:ascii="Century Gothic" w:hAnsi="Century Gothic" w:cs="Tahoma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</w:rPr>
            </w:r>
            <w:r w:rsidR="00934582">
              <w:rPr>
                <w:rFonts w:ascii="Century Gothic" w:hAnsi="Century Gothic" w:cs="Tahoma"/>
              </w:rPr>
              <w:fldChar w:fldCharType="separate"/>
            </w:r>
            <w:r w:rsidRPr="003440B9">
              <w:rPr>
                <w:rFonts w:ascii="Century Gothic" w:hAnsi="Century Gothic" w:cs="Tahoma"/>
              </w:rPr>
              <w:fldChar w:fldCharType="end"/>
            </w:r>
            <w:r>
              <w:rPr>
                <w:rFonts w:ascii="Century Gothic" w:hAnsi="Century Gothic" w:cs="Tahoma"/>
              </w:rPr>
              <w:t xml:space="preserve"> </w:t>
            </w:r>
            <w:r w:rsidRPr="009A106F">
              <w:rPr>
                <w:rFonts w:ascii="Century Gothic" w:hAnsi="Century Gothic" w:cs="Tahoma"/>
                <w:lang w:val="en-GB"/>
              </w:rPr>
              <w:t>Yes</w:t>
            </w:r>
            <w:r>
              <w:rPr>
                <w:rFonts w:ascii="Century Gothic" w:hAnsi="Century Gothic" w:cs="Tahoma"/>
              </w:rPr>
              <w:t xml:space="preserve">  </w:t>
            </w:r>
            <w:r w:rsidRPr="003440B9">
              <w:rPr>
                <w:rFonts w:ascii="Century Gothic" w:hAnsi="Century Gothic" w:cs="Tahoma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40B9">
              <w:rPr>
                <w:rFonts w:ascii="Century Gothic" w:hAnsi="Century Gothic" w:cs="Tahoma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</w:rPr>
            </w:r>
            <w:r w:rsidR="00934582">
              <w:rPr>
                <w:rFonts w:ascii="Century Gothic" w:hAnsi="Century Gothic" w:cs="Tahoma"/>
              </w:rPr>
              <w:fldChar w:fldCharType="separate"/>
            </w:r>
            <w:r w:rsidRPr="003440B9">
              <w:rPr>
                <w:rFonts w:ascii="Century Gothic" w:hAnsi="Century Gothic" w:cs="Tahoma"/>
              </w:rPr>
              <w:fldChar w:fldCharType="end"/>
            </w:r>
            <w:r>
              <w:rPr>
                <w:rFonts w:ascii="Century Gothic" w:hAnsi="Century Gothic" w:cs="Tahoma"/>
              </w:rPr>
              <w:t xml:space="preserve"> No</w:t>
            </w:r>
          </w:p>
        </w:tc>
      </w:tr>
      <w:tr w:rsidR="003E3129" w:rsidRPr="00DC5048" w14:paraId="7D205697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33DAFC91" w14:textId="670F616A" w:rsidR="003E3129" w:rsidRPr="00F957B6" w:rsidRDefault="0067793D" w:rsidP="00430E33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 xml:space="preserve">In case of joint procurement, which beneficiary </w:t>
            </w:r>
            <w:r w:rsidR="009A106F">
              <w:rPr>
                <w:rFonts w:ascii="Century Gothic" w:hAnsi="Century Gothic"/>
                <w:b/>
                <w:bCs/>
                <w:lang w:val="en-GB"/>
              </w:rPr>
              <w:t>is leading the procedure?</w:t>
            </w:r>
            <w:r w:rsidR="008D362D">
              <w:rPr>
                <w:rFonts w:ascii="Century Gothic" w:hAnsi="Century Gothic"/>
                <w:b/>
                <w:bCs/>
                <w:lang w:val="en-GB"/>
              </w:rPr>
              <w:t xml:space="preserve"> </w:t>
            </w:r>
          </w:p>
        </w:tc>
        <w:tc>
          <w:tcPr>
            <w:tcW w:w="9292" w:type="dxa"/>
            <w:vAlign w:val="center"/>
          </w:tcPr>
          <w:p w14:paraId="73180FBA" w14:textId="77777777" w:rsidR="003E3129" w:rsidRPr="00DC5048" w:rsidRDefault="003E3129" w:rsidP="00430E33">
            <w:pPr>
              <w:spacing w:before="40" w:after="40"/>
              <w:rPr>
                <w:rFonts w:ascii="Century Gothic" w:hAnsi="Century Gothic"/>
                <w:lang w:val="en-GB"/>
              </w:rPr>
            </w:pPr>
          </w:p>
        </w:tc>
      </w:tr>
      <w:tr w:rsidR="00430E33" w:rsidRPr="00DC5048" w14:paraId="1205143B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4DF6D45E" w14:textId="5C3F3A7B" w:rsidR="00430E33" w:rsidRPr="00F957B6" w:rsidRDefault="00430E33" w:rsidP="00430E33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Description or name of the purchase and code of budget line</w:t>
            </w:r>
          </w:p>
        </w:tc>
        <w:tc>
          <w:tcPr>
            <w:tcW w:w="9292" w:type="dxa"/>
            <w:vAlign w:val="center"/>
          </w:tcPr>
          <w:p w14:paraId="113DFC4F" w14:textId="77777777" w:rsidR="00430E33" w:rsidRPr="00DC5048" w:rsidRDefault="00430E33" w:rsidP="00430E33">
            <w:pPr>
              <w:spacing w:before="40" w:after="40"/>
              <w:rPr>
                <w:rFonts w:ascii="Century Gothic" w:hAnsi="Century Gothic"/>
                <w:lang w:val="en-GB"/>
              </w:rPr>
            </w:pPr>
          </w:p>
        </w:tc>
      </w:tr>
      <w:tr w:rsidR="000229A0" w:rsidRPr="00DC5048" w14:paraId="7B073C8E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47698061" w14:textId="681CCD7A" w:rsidR="000229A0" w:rsidRPr="00F957B6" w:rsidRDefault="000229A0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Type of procurement</w:t>
            </w:r>
          </w:p>
        </w:tc>
        <w:tc>
          <w:tcPr>
            <w:tcW w:w="9292" w:type="dxa"/>
            <w:vAlign w:val="center"/>
          </w:tcPr>
          <w:p w14:paraId="356EE9AC" w14:textId="3BB4A0BE" w:rsidR="000229A0" w:rsidRPr="0049784F" w:rsidRDefault="0049784F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  <w:r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>
              <w:rPr>
                <w:rFonts w:ascii="Century Gothic" w:hAnsi="Century Gothic" w:cs="Tahoma"/>
                <w:sz w:val="22"/>
                <w:szCs w:val="22"/>
              </w:rPr>
              <w:t xml:space="preserve"> </w:t>
            </w:r>
            <w:r w:rsidR="001C74C5" w:rsidRPr="0067317C">
              <w:rPr>
                <w:rFonts w:ascii="Century Gothic" w:hAnsi="Century Gothic"/>
                <w:sz w:val="22"/>
                <w:szCs w:val="22"/>
              </w:rPr>
              <w:t>Service</w:t>
            </w:r>
            <w:r w:rsidR="001C74C5">
              <w:rPr>
                <w:rFonts w:ascii="Century Gothic" w:hAnsi="Century Gothic"/>
              </w:rPr>
              <w:t xml:space="preserve"> </w:t>
            </w:r>
            <w:r w:rsidR="00EE0F36">
              <w:rPr>
                <w:rFonts w:ascii="Century Gothic" w:hAnsi="Century Gothic"/>
              </w:rPr>
              <w:t xml:space="preserve"> </w:t>
            </w:r>
            <w:r w:rsidR="00852A0D">
              <w:rPr>
                <w:rFonts w:ascii="Century Gothic" w:hAnsi="Century Gothic"/>
              </w:rPr>
              <w:t xml:space="preserve"> </w:t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 w:rsidR="00852A0D">
              <w:rPr>
                <w:rFonts w:ascii="Century Gothic" w:hAnsi="Century Gothic" w:cs="Tahoma"/>
                <w:sz w:val="22"/>
                <w:szCs w:val="22"/>
              </w:rPr>
              <w:t xml:space="preserve"> </w:t>
            </w:r>
            <w:r w:rsidR="001C74C5" w:rsidRPr="0067317C">
              <w:rPr>
                <w:rFonts w:ascii="Century Gothic" w:hAnsi="Century Gothic"/>
                <w:sz w:val="22"/>
                <w:szCs w:val="22"/>
              </w:rPr>
              <w:t>Supply</w:t>
            </w:r>
            <w:r w:rsidR="00EE0F36" w:rsidRPr="0067317C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1C74C5" w:rsidRPr="0067317C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="00852A0D"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 w:rsidR="00852A0D">
              <w:rPr>
                <w:rFonts w:ascii="Century Gothic" w:hAnsi="Century Gothic" w:cs="Tahoma"/>
                <w:sz w:val="22"/>
                <w:szCs w:val="22"/>
              </w:rPr>
              <w:t xml:space="preserve">  </w:t>
            </w:r>
            <w:r w:rsidR="001C74C5" w:rsidRPr="0067317C">
              <w:rPr>
                <w:rFonts w:ascii="Century Gothic" w:hAnsi="Century Gothic"/>
                <w:sz w:val="22"/>
                <w:szCs w:val="22"/>
              </w:rPr>
              <w:t>Works</w:t>
            </w:r>
            <w:r w:rsidR="003F6CCA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="003F6CCA"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3F6CCA"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="003F6CCA"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 w:rsidR="003F6CCA">
              <w:rPr>
                <w:rFonts w:ascii="Century Gothic" w:hAnsi="Century Gothic" w:cs="Tahoma"/>
                <w:sz w:val="22"/>
                <w:szCs w:val="22"/>
              </w:rPr>
              <w:t xml:space="preserve"> Mixed (indicate </w:t>
            </w:r>
            <w:r w:rsidR="005274BE">
              <w:rPr>
                <w:rFonts w:ascii="Century Gothic" w:hAnsi="Century Gothic" w:cs="Tahoma"/>
                <w:sz w:val="22"/>
                <w:szCs w:val="22"/>
              </w:rPr>
              <w:t>the types and the dominant one)</w:t>
            </w:r>
          </w:p>
        </w:tc>
      </w:tr>
      <w:tr w:rsidR="003F656E" w:rsidRPr="00DC5048" w14:paraId="5B971F49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135FA905" w14:textId="1101E593" w:rsidR="003F656E" w:rsidRPr="00F957B6" w:rsidRDefault="0070123F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>Is the procedure using any of the following options?</w:t>
            </w:r>
            <w:r w:rsidR="007835B7">
              <w:rPr>
                <w:rFonts w:ascii="Century Gothic" w:hAnsi="Century Gothic"/>
                <w:b/>
                <w:bCs/>
                <w:lang w:val="en-GB"/>
              </w:rPr>
              <w:t xml:space="preserve"> </w:t>
            </w:r>
            <w:r w:rsidR="007835B7">
              <w:rPr>
                <w:rStyle w:val="Odwoanieprzypisudolnego"/>
                <w:rFonts w:ascii="Century Gothic" w:hAnsi="Century Gothic"/>
                <w:b/>
                <w:bCs/>
                <w:lang w:val="en-GB"/>
              </w:rPr>
              <w:footnoteReference w:id="3"/>
            </w:r>
          </w:p>
        </w:tc>
        <w:tc>
          <w:tcPr>
            <w:tcW w:w="9292" w:type="dxa"/>
            <w:vAlign w:val="center"/>
          </w:tcPr>
          <w:p w14:paraId="57E3DCB6" w14:textId="06173A32" w:rsidR="003F656E" w:rsidRDefault="0070123F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  <w:r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>
              <w:rPr>
                <w:rFonts w:ascii="Century Gothic" w:hAnsi="Century Gothic" w:cs="Tahoma"/>
                <w:sz w:val="22"/>
                <w:szCs w:val="22"/>
              </w:rPr>
              <w:t xml:space="preserve"> </w:t>
            </w:r>
            <w:r w:rsidR="00122459">
              <w:rPr>
                <w:rFonts w:ascii="Century Gothic" w:hAnsi="Century Gothic" w:cs="Tahoma"/>
                <w:sz w:val="22"/>
                <w:szCs w:val="22"/>
              </w:rPr>
              <w:t xml:space="preserve">Electronic auctions  </w:t>
            </w:r>
            <w:r w:rsidR="00122459" w:rsidRPr="003440B9">
              <w:rPr>
                <w:rFonts w:ascii="Century Gothic" w:hAnsi="Century Gothic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122459" w:rsidRPr="003440B9">
              <w:rPr>
                <w:rFonts w:ascii="Century Gothic" w:hAnsi="Century Gothic" w:cs="Tahoma"/>
                <w:sz w:val="22"/>
                <w:szCs w:val="22"/>
              </w:rPr>
              <w:instrText xml:space="preserve"> FORMCHECKBOX </w:instrText>
            </w:r>
            <w:r w:rsidR="00934582">
              <w:rPr>
                <w:rFonts w:ascii="Century Gothic" w:hAnsi="Century Gothic" w:cs="Tahoma"/>
                <w:sz w:val="22"/>
                <w:szCs w:val="22"/>
              </w:rPr>
            </w:r>
            <w:r w:rsidR="00934582">
              <w:rPr>
                <w:rFonts w:ascii="Century Gothic" w:hAnsi="Century Gothic" w:cs="Tahoma"/>
                <w:sz w:val="22"/>
                <w:szCs w:val="22"/>
              </w:rPr>
              <w:fldChar w:fldCharType="separate"/>
            </w:r>
            <w:r w:rsidR="00122459" w:rsidRPr="003440B9">
              <w:rPr>
                <w:rFonts w:ascii="Century Gothic" w:hAnsi="Century Gothic" w:cs="Tahoma"/>
                <w:sz w:val="22"/>
                <w:szCs w:val="22"/>
              </w:rPr>
              <w:fldChar w:fldCharType="end"/>
            </w:r>
            <w:r w:rsidR="00122459">
              <w:rPr>
                <w:rFonts w:ascii="Century Gothic" w:hAnsi="Century Gothic" w:cs="Tahoma"/>
                <w:sz w:val="22"/>
                <w:szCs w:val="22"/>
              </w:rPr>
              <w:t xml:space="preserve"> Electronic catalogues</w:t>
            </w:r>
          </w:p>
        </w:tc>
      </w:tr>
      <w:tr w:rsidR="00EE0F36" w:rsidRPr="00DC5048" w14:paraId="15770DF8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70C24271" w14:textId="461B5521" w:rsidR="00EE0F36" w:rsidRPr="00F957B6" w:rsidRDefault="00C9651F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 xml:space="preserve">Currency </w:t>
            </w:r>
            <w:r w:rsidR="00E46C22">
              <w:rPr>
                <w:rFonts w:ascii="Century Gothic" w:hAnsi="Century Gothic"/>
                <w:b/>
                <w:bCs/>
                <w:lang w:val="en-GB"/>
              </w:rPr>
              <w:t>of the procedure</w:t>
            </w:r>
          </w:p>
        </w:tc>
        <w:tc>
          <w:tcPr>
            <w:tcW w:w="9292" w:type="dxa"/>
            <w:vAlign w:val="center"/>
          </w:tcPr>
          <w:p w14:paraId="677BDA6A" w14:textId="2E7E980E" w:rsidR="00EE0F36" w:rsidRDefault="00C9651F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  <w:r>
              <w:rPr>
                <w:rFonts w:ascii="Century Gothic" w:hAnsi="Century Gothic" w:cs="Tahoma"/>
                <w:sz w:val="22"/>
                <w:szCs w:val="22"/>
              </w:rPr>
              <w:t>[EUR] [national currency</w:t>
            </w:r>
            <w:r w:rsidR="0067317C">
              <w:rPr>
                <w:rFonts w:ascii="Century Gothic" w:hAnsi="Century Gothic" w:cs="Tahoma"/>
                <w:sz w:val="22"/>
                <w:szCs w:val="22"/>
              </w:rPr>
              <w:t>]</w:t>
            </w:r>
          </w:p>
        </w:tc>
      </w:tr>
      <w:tr w:rsidR="0067317C" w:rsidRPr="00DC5048" w14:paraId="00E3C4E6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34BABB28" w14:textId="32CC84F4" w:rsidR="0067317C" w:rsidRPr="00F957B6" w:rsidRDefault="00BB21BA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>Estimated</w:t>
            </w:r>
            <w:r w:rsidRPr="00F957B6">
              <w:rPr>
                <w:rFonts w:ascii="Century Gothic" w:hAnsi="Century Gothic"/>
                <w:b/>
                <w:bCs/>
                <w:lang w:val="en-GB"/>
              </w:rPr>
              <w:t xml:space="preserve"> value</w:t>
            </w:r>
            <w:r>
              <w:rPr>
                <w:rFonts w:ascii="Century Gothic" w:hAnsi="Century Gothic"/>
                <w:b/>
                <w:bCs/>
                <w:lang w:val="en-GB"/>
              </w:rPr>
              <w:t xml:space="preserve"> in national currency, if it is the currency of the procedure</w:t>
            </w:r>
          </w:p>
        </w:tc>
        <w:tc>
          <w:tcPr>
            <w:tcW w:w="9292" w:type="dxa"/>
            <w:vAlign w:val="center"/>
          </w:tcPr>
          <w:p w14:paraId="7AAAAE0B" w14:textId="77777777" w:rsidR="0067317C" w:rsidRDefault="0067317C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241788" w:rsidRPr="00DC5048" w14:paraId="3A70C44E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1BB80D88" w14:textId="58B7435D" w:rsidR="00241788" w:rsidRPr="00F957B6" w:rsidRDefault="00430E33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lastRenderedPageBreak/>
              <w:t>Estimated v</w:t>
            </w:r>
            <w:r w:rsidR="00241788" w:rsidRPr="00F957B6">
              <w:rPr>
                <w:rFonts w:ascii="Century Gothic" w:hAnsi="Century Gothic"/>
                <w:b/>
                <w:bCs/>
                <w:lang w:val="en-GB"/>
              </w:rPr>
              <w:t>alue in EUR at the time of launch of the procedure</w:t>
            </w:r>
            <w:r w:rsidR="007F4B20" w:rsidRPr="00F957B6">
              <w:rPr>
                <w:rStyle w:val="Odwoanieprzypisudolnego"/>
                <w:rFonts w:ascii="Century Gothic" w:hAnsi="Century Gothic"/>
                <w:b/>
                <w:bCs/>
                <w:lang w:val="en-GB"/>
              </w:rPr>
              <w:footnoteReference w:id="4"/>
            </w:r>
            <w:r w:rsidR="007F0D55">
              <w:rPr>
                <w:rFonts w:ascii="Century Gothic" w:hAnsi="Century Gothic"/>
                <w:b/>
                <w:bCs/>
                <w:lang w:val="en-GB"/>
              </w:rPr>
              <w:t xml:space="preserve"> if procedure in national currency</w:t>
            </w:r>
          </w:p>
        </w:tc>
        <w:tc>
          <w:tcPr>
            <w:tcW w:w="9292" w:type="dxa"/>
            <w:vAlign w:val="center"/>
          </w:tcPr>
          <w:p w14:paraId="7EEBE302" w14:textId="77777777" w:rsidR="00241788" w:rsidRDefault="00241788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9E0FE3" w:rsidRPr="00DC5048" w14:paraId="6248F671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1C48CE55" w14:textId="38868A55" w:rsidR="009E0FE3" w:rsidRPr="00F957B6" w:rsidRDefault="009E0FE3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Date of launch of the procedure</w:t>
            </w:r>
          </w:p>
        </w:tc>
        <w:tc>
          <w:tcPr>
            <w:tcW w:w="9292" w:type="dxa"/>
            <w:vAlign w:val="center"/>
          </w:tcPr>
          <w:p w14:paraId="30204D79" w14:textId="77777777" w:rsidR="009E0FE3" w:rsidRDefault="009E0FE3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9E0FE3" w:rsidRPr="00DC5048" w14:paraId="4B9DF012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598A5BE3" w14:textId="5E7BCBBB" w:rsidR="009E0FE3" w:rsidRPr="00F957B6" w:rsidRDefault="009E0FE3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Date of signature of contract</w:t>
            </w:r>
          </w:p>
        </w:tc>
        <w:tc>
          <w:tcPr>
            <w:tcW w:w="9292" w:type="dxa"/>
            <w:vAlign w:val="center"/>
          </w:tcPr>
          <w:p w14:paraId="2BF4062E" w14:textId="1CF3FD89" w:rsidR="009E0FE3" w:rsidRDefault="009E0FE3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F957B6" w:rsidRPr="00DC5048" w14:paraId="28123466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0E6864AB" w14:textId="6F8084A1" w:rsidR="00F957B6" w:rsidRPr="00F957B6" w:rsidRDefault="00F957B6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 w:rsidRPr="00F957B6">
              <w:rPr>
                <w:rFonts w:ascii="Century Gothic" w:hAnsi="Century Gothic"/>
                <w:b/>
                <w:bCs/>
                <w:lang w:val="en-GB"/>
              </w:rPr>
              <w:t>Contract number</w:t>
            </w:r>
          </w:p>
        </w:tc>
        <w:tc>
          <w:tcPr>
            <w:tcW w:w="9292" w:type="dxa"/>
            <w:vAlign w:val="center"/>
          </w:tcPr>
          <w:p w14:paraId="55EAB442" w14:textId="77777777" w:rsidR="00F957B6" w:rsidRDefault="00F957B6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E46C22" w:rsidRPr="00DC5048" w14:paraId="7ECD6B7A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44CF1BB6" w14:textId="1AB7F893" w:rsidR="00E46C22" w:rsidRPr="00F957B6" w:rsidRDefault="00E46C22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 xml:space="preserve">Name </w:t>
            </w:r>
            <w:r w:rsidR="006715E3">
              <w:rPr>
                <w:rFonts w:ascii="Century Gothic" w:hAnsi="Century Gothic"/>
                <w:b/>
                <w:bCs/>
                <w:lang w:val="en-GB"/>
              </w:rPr>
              <w:t>of the contractor</w:t>
            </w:r>
          </w:p>
        </w:tc>
        <w:tc>
          <w:tcPr>
            <w:tcW w:w="9292" w:type="dxa"/>
            <w:vAlign w:val="center"/>
          </w:tcPr>
          <w:p w14:paraId="5866E78A" w14:textId="77777777" w:rsidR="00E46C22" w:rsidRDefault="00E46C22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  <w:tr w:rsidR="006715E3" w:rsidRPr="00DC5048" w14:paraId="6A3ADD50" w14:textId="77777777" w:rsidTr="00BB21BA">
        <w:tc>
          <w:tcPr>
            <w:tcW w:w="5382" w:type="dxa"/>
            <w:shd w:val="clear" w:color="auto" w:fill="D9D9D9" w:themeFill="background1" w:themeFillShade="D9"/>
            <w:vAlign w:val="center"/>
          </w:tcPr>
          <w:p w14:paraId="0F627E7C" w14:textId="0D369658" w:rsidR="006715E3" w:rsidRDefault="002F1017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>Actual contractual value (in the currency of the procedure)</w:t>
            </w:r>
          </w:p>
        </w:tc>
        <w:tc>
          <w:tcPr>
            <w:tcW w:w="9292" w:type="dxa"/>
            <w:vAlign w:val="center"/>
          </w:tcPr>
          <w:p w14:paraId="509B2081" w14:textId="77777777" w:rsidR="006715E3" w:rsidRDefault="006715E3" w:rsidP="00D444CB">
            <w:pPr>
              <w:pStyle w:val="Jasnasiatkaakcent31"/>
              <w:snapToGrid w:val="0"/>
              <w:spacing w:before="40" w:after="40" w:line="240" w:lineRule="auto"/>
              <w:ind w:left="0"/>
              <w:jc w:val="left"/>
              <w:rPr>
                <w:rFonts w:ascii="Century Gothic" w:hAnsi="Century Gothic" w:cs="Tahoma"/>
                <w:sz w:val="22"/>
                <w:szCs w:val="22"/>
              </w:rPr>
            </w:pPr>
          </w:p>
        </w:tc>
      </w:tr>
    </w:tbl>
    <w:p w14:paraId="7EDC5D65" w14:textId="77777777" w:rsidR="00257E7A" w:rsidRDefault="00257E7A" w:rsidP="00D2208D">
      <w:pPr>
        <w:spacing w:after="0"/>
        <w:rPr>
          <w:rFonts w:ascii="Century Gothic" w:hAnsi="Century Gothic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10426"/>
      </w:tblGrid>
      <w:tr w:rsidR="0094182B" w14:paraId="1FCCEEA1" w14:textId="77777777" w:rsidTr="009A106F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74A169C" w14:textId="457C21F0" w:rsidR="0094182B" w:rsidRPr="00AD58B7" w:rsidRDefault="00D444CB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>Date of request for examination:</w:t>
            </w:r>
          </w:p>
        </w:tc>
        <w:tc>
          <w:tcPr>
            <w:tcW w:w="10426" w:type="dxa"/>
            <w:vAlign w:val="center"/>
          </w:tcPr>
          <w:p w14:paraId="70524924" w14:textId="77777777" w:rsidR="0094182B" w:rsidRDefault="0094182B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</w:tc>
      </w:tr>
      <w:tr w:rsidR="0094182B" w14:paraId="331EA4A9" w14:textId="77777777" w:rsidTr="009A106F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3EB5668" w14:textId="6F25163A" w:rsidR="0094182B" w:rsidRPr="00AD58B7" w:rsidRDefault="00D444CB" w:rsidP="00D444CB">
            <w:pPr>
              <w:spacing w:before="40" w:after="40"/>
              <w:rPr>
                <w:rFonts w:ascii="Century Gothic" w:hAnsi="Century Gothic"/>
                <w:b/>
                <w:bCs/>
                <w:lang w:val="en-GB"/>
              </w:rPr>
            </w:pPr>
            <w:r>
              <w:rPr>
                <w:rFonts w:ascii="Century Gothic" w:hAnsi="Century Gothic"/>
                <w:b/>
                <w:bCs/>
                <w:lang w:val="en-GB"/>
              </w:rPr>
              <w:t>General remarks (if any)</w:t>
            </w:r>
          </w:p>
        </w:tc>
        <w:tc>
          <w:tcPr>
            <w:tcW w:w="10426" w:type="dxa"/>
            <w:vAlign w:val="center"/>
          </w:tcPr>
          <w:p w14:paraId="37985940" w14:textId="77777777" w:rsidR="0094182B" w:rsidRDefault="0094182B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  <w:p w14:paraId="4F92238B" w14:textId="77777777" w:rsidR="00D444CB" w:rsidRDefault="00D444CB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  <w:p w14:paraId="465E84EF" w14:textId="77777777" w:rsidR="00D444CB" w:rsidRDefault="00D444CB" w:rsidP="00D444CB">
            <w:pPr>
              <w:spacing w:before="40" w:after="40"/>
              <w:rPr>
                <w:rFonts w:ascii="Century Gothic" w:hAnsi="Century Gothic"/>
                <w:b/>
                <w:bCs/>
                <w:sz w:val="28"/>
                <w:szCs w:val="28"/>
                <w:lang w:val="en-GB"/>
              </w:rPr>
            </w:pPr>
          </w:p>
        </w:tc>
      </w:tr>
    </w:tbl>
    <w:p w14:paraId="68C62117" w14:textId="77777777" w:rsidR="00A4694B" w:rsidRDefault="00A4694B" w:rsidP="00A735C2">
      <w:pPr>
        <w:spacing w:after="0"/>
        <w:rPr>
          <w:rFonts w:ascii="Century Gothic" w:hAnsi="Century Gothic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9"/>
        <w:gridCol w:w="6355"/>
        <w:gridCol w:w="1545"/>
        <w:gridCol w:w="6035"/>
      </w:tblGrid>
      <w:tr w:rsidR="00D85EF8" w14:paraId="7AD0A2B9" w14:textId="77777777" w:rsidTr="0008734E">
        <w:tc>
          <w:tcPr>
            <w:tcW w:w="739" w:type="dxa"/>
            <w:shd w:val="clear" w:color="auto" w:fill="D9D9D9" w:themeFill="background1" w:themeFillShade="D9"/>
            <w:vAlign w:val="center"/>
          </w:tcPr>
          <w:p w14:paraId="0A0B3858" w14:textId="5BD6060B" w:rsidR="00A4694B" w:rsidRPr="005C04B5" w:rsidRDefault="005C04B5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lang w:val="en-GB"/>
              </w:rPr>
            </w:pPr>
            <w:r w:rsidRPr="005C04B5">
              <w:rPr>
                <w:rFonts w:ascii="Century Gothic" w:hAnsi="Century Gothic"/>
                <w:b/>
                <w:bCs/>
                <w:lang w:val="en-GB"/>
              </w:rPr>
              <w:t>#</w:t>
            </w:r>
          </w:p>
        </w:tc>
        <w:tc>
          <w:tcPr>
            <w:tcW w:w="6355" w:type="dxa"/>
            <w:shd w:val="clear" w:color="auto" w:fill="D9D9D9" w:themeFill="background1" w:themeFillShade="D9"/>
            <w:vAlign w:val="center"/>
          </w:tcPr>
          <w:p w14:paraId="6B7D34D9" w14:textId="221EA2A2" w:rsidR="00A4694B" w:rsidRPr="005C04B5" w:rsidRDefault="005C04B5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lang w:val="en-GB"/>
              </w:rPr>
            </w:pPr>
            <w:r w:rsidRPr="005C04B5">
              <w:rPr>
                <w:rFonts w:ascii="Century Gothic" w:hAnsi="Century Gothic"/>
                <w:b/>
                <w:bCs/>
                <w:lang w:val="en-GB"/>
              </w:rPr>
              <w:t>Checks</w:t>
            </w:r>
          </w:p>
        </w:tc>
        <w:tc>
          <w:tcPr>
            <w:tcW w:w="1545" w:type="dxa"/>
            <w:shd w:val="clear" w:color="auto" w:fill="D9D9D9" w:themeFill="background1" w:themeFillShade="D9"/>
            <w:vAlign w:val="center"/>
          </w:tcPr>
          <w:p w14:paraId="3D616178" w14:textId="2E74F7CC" w:rsidR="00A4694B" w:rsidRPr="005C04B5" w:rsidRDefault="005C04B5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lang w:val="en-GB"/>
              </w:rPr>
            </w:pPr>
            <w:r w:rsidRPr="005C04B5">
              <w:rPr>
                <w:rFonts w:ascii="Century Gothic" w:hAnsi="Century Gothic"/>
                <w:b/>
                <w:bCs/>
                <w:lang w:val="en-GB"/>
              </w:rPr>
              <w:t>Yes/No/N.A.</w:t>
            </w:r>
          </w:p>
        </w:tc>
        <w:tc>
          <w:tcPr>
            <w:tcW w:w="6035" w:type="dxa"/>
            <w:shd w:val="clear" w:color="auto" w:fill="D9D9D9" w:themeFill="background1" w:themeFillShade="D9"/>
            <w:vAlign w:val="center"/>
          </w:tcPr>
          <w:p w14:paraId="5BE4FD27" w14:textId="42F864E2" w:rsidR="00A4694B" w:rsidRPr="005C04B5" w:rsidRDefault="005C04B5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lang w:val="en-GB"/>
              </w:rPr>
            </w:pPr>
            <w:r w:rsidRPr="005C04B5">
              <w:rPr>
                <w:rFonts w:ascii="Century Gothic" w:hAnsi="Century Gothic"/>
                <w:b/>
                <w:bCs/>
                <w:lang w:val="en-GB"/>
              </w:rPr>
              <w:t>Comments</w:t>
            </w:r>
          </w:p>
        </w:tc>
      </w:tr>
      <w:tr w:rsidR="006B5AF2" w14:paraId="441E296C" w14:textId="77777777" w:rsidTr="0008734E">
        <w:tc>
          <w:tcPr>
            <w:tcW w:w="739" w:type="dxa"/>
            <w:shd w:val="clear" w:color="auto" w:fill="DEEAF6" w:themeFill="accent5" w:themeFillTint="33"/>
            <w:vAlign w:val="center"/>
          </w:tcPr>
          <w:p w14:paraId="30FF8014" w14:textId="3DE0A588" w:rsidR="006B5AF2" w:rsidRPr="006B5AF2" w:rsidRDefault="006B5AF2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lang w:val="en-GB"/>
              </w:rPr>
            </w:pPr>
            <w:r w:rsidRPr="006B5AF2">
              <w:rPr>
                <w:rFonts w:ascii="Century Gothic" w:hAnsi="Century Gothic"/>
                <w:b/>
                <w:bCs/>
                <w:lang w:val="en-GB"/>
              </w:rPr>
              <w:t>1</w:t>
            </w:r>
          </w:p>
        </w:tc>
        <w:tc>
          <w:tcPr>
            <w:tcW w:w="13935" w:type="dxa"/>
            <w:gridSpan w:val="3"/>
            <w:shd w:val="clear" w:color="auto" w:fill="DEEAF6" w:themeFill="accent5" w:themeFillTint="33"/>
            <w:vAlign w:val="center"/>
          </w:tcPr>
          <w:p w14:paraId="7D3DBA39" w14:textId="0F479E4E" w:rsidR="006B5AF2" w:rsidRDefault="006B5AF2" w:rsidP="002A532D">
            <w:pPr>
              <w:spacing w:before="40" w:after="40"/>
              <w:rPr>
                <w:rFonts w:ascii="Century Gothic" w:hAnsi="Century Gothic"/>
                <w:lang w:val="en-GB"/>
              </w:rPr>
            </w:pPr>
            <w:r w:rsidRPr="006B5AF2">
              <w:rPr>
                <w:rFonts w:ascii="Century Gothic" w:hAnsi="Century Gothic"/>
                <w:b/>
                <w:bCs/>
                <w:lang w:val="en-GB"/>
              </w:rPr>
              <w:t>Choice of procedure</w:t>
            </w:r>
          </w:p>
        </w:tc>
      </w:tr>
      <w:tr w:rsidR="00C337F0" w14:paraId="7A4E3FF8" w14:textId="77777777" w:rsidTr="0008734E">
        <w:tc>
          <w:tcPr>
            <w:tcW w:w="739" w:type="dxa"/>
            <w:vAlign w:val="center"/>
          </w:tcPr>
          <w:p w14:paraId="15AA5E10" w14:textId="6A7FB6E0" w:rsidR="00C337F0" w:rsidRPr="00B60873" w:rsidRDefault="00D85EF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A</w:t>
            </w:r>
          </w:p>
        </w:tc>
        <w:tc>
          <w:tcPr>
            <w:tcW w:w="6355" w:type="dxa"/>
            <w:vAlign w:val="center"/>
          </w:tcPr>
          <w:p w14:paraId="43E74821" w14:textId="51890A99" w:rsidR="00C337F0" w:rsidRPr="00B60873" w:rsidRDefault="00B21DB7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Is the nature of the contract correct? (service, supply, works or mixed)</w:t>
            </w:r>
          </w:p>
        </w:tc>
        <w:tc>
          <w:tcPr>
            <w:tcW w:w="1545" w:type="dxa"/>
            <w:vAlign w:val="center"/>
          </w:tcPr>
          <w:p w14:paraId="1AC6FC4C" w14:textId="77777777" w:rsidR="00C337F0" w:rsidRPr="00B60873" w:rsidRDefault="00C337F0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5EC9AF12" w14:textId="77777777" w:rsidR="00C337F0" w:rsidRPr="00B60873" w:rsidRDefault="00C337F0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736747" w14:paraId="4540FE97" w14:textId="77777777" w:rsidTr="0008734E">
        <w:tc>
          <w:tcPr>
            <w:tcW w:w="739" w:type="dxa"/>
            <w:vAlign w:val="center"/>
          </w:tcPr>
          <w:p w14:paraId="18937EC2" w14:textId="783D0097" w:rsidR="00736747" w:rsidRPr="00B60873" w:rsidRDefault="0003690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B</w:t>
            </w:r>
          </w:p>
        </w:tc>
        <w:tc>
          <w:tcPr>
            <w:tcW w:w="6355" w:type="dxa"/>
            <w:vAlign w:val="center"/>
          </w:tcPr>
          <w:p w14:paraId="6D72A068" w14:textId="01D37891" w:rsidR="00736747" w:rsidRPr="00B60873" w:rsidRDefault="0003690A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In case of mixed contract, is the contr</w:t>
            </w:r>
            <w:r w:rsidR="00B60873" w:rsidRPr="00B60873">
              <w:rPr>
                <w:rFonts w:ascii="Century Gothic" w:hAnsi="Century Gothic"/>
                <w:sz w:val="20"/>
                <w:szCs w:val="20"/>
                <w:lang w:val="en-GB"/>
              </w:rPr>
              <w:t>a</w:t>
            </w: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ct awarded</w:t>
            </w:r>
            <w:r w:rsidR="00B60873" w:rsidRPr="00B60873">
              <w:rPr>
                <w:rFonts w:ascii="Century Gothic" w:hAnsi="Century Gothic"/>
                <w:sz w:val="20"/>
                <w:szCs w:val="20"/>
                <w:lang w:val="en-GB"/>
              </w:rPr>
              <w:t xml:space="preserve"> in accordance with the provisions applicable to the type of procurement that characterises the main subject matter </w:t>
            </w:r>
            <w:r w:rsidR="00E20B61">
              <w:rPr>
                <w:rFonts w:ascii="Century Gothic" w:hAnsi="Century Gothic"/>
                <w:sz w:val="20"/>
                <w:szCs w:val="20"/>
                <w:lang w:val="en-GB"/>
              </w:rPr>
              <w:t xml:space="preserve">and higher value </w:t>
            </w:r>
            <w:r w:rsidR="00B60873" w:rsidRPr="00B60873">
              <w:rPr>
                <w:rFonts w:ascii="Century Gothic" w:hAnsi="Century Gothic"/>
                <w:sz w:val="20"/>
                <w:szCs w:val="20"/>
                <w:lang w:val="en-GB"/>
              </w:rPr>
              <w:t>of the contract in question?</w:t>
            </w:r>
          </w:p>
        </w:tc>
        <w:tc>
          <w:tcPr>
            <w:tcW w:w="1545" w:type="dxa"/>
            <w:vAlign w:val="center"/>
          </w:tcPr>
          <w:p w14:paraId="61809E01" w14:textId="77777777" w:rsidR="00736747" w:rsidRPr="00B60873" w:rsidRDefault="00736747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1E3A7FAE" w14:textId="77777777" w:rsidR="00736747" w:rsidRPr="00B60873" w:rsidRDefault="00736747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D85EF8" w14:paraId="6FC58480" w14:textId="77777777" w:rsidTr="0008734E">
        <w:tc>
          <w:tcPr>
            <w:tcW w:w="739" w:type="dxa"/>
            <w:vAlign w:val="center"/>
          </w:tcPr>
          <w:p w14:paraId="0263BF00" w14:textId="2DC0BCC1" w:rsidR="00D85EF8" w:rsidRPr="00B60873" w:rsidRDefault="0003690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C</w:t>
            </w:r>
          </w:p>
        </w:tc>
        <w:tc>
          <w:tcPr>
            <w:tcW w:w="6355" w:type="dxa"/>
            <w:vAlign w:val="center"/>
          </w:tcPr>
          <w:p w14:paraId="47A31C78" w14:textId="391BFED7" w:rsidR="00D85EF8" w:rsidRPr="00B60873" w:rsidRDefault="00BA56F1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Is the choice of type of procedure (</w:t>
            </w:r>
            <w:r w:rsidR="00C87F7E">
              <w:rPr>
                <w:rFonts w:ascii="Century Gothic" w:hAnsi="Century Gothic"/>
                <w:sz w:val="20"/>
                <w:szCs w:val="20"/>
                <w:lang w:val="en-GB"/>
              </w:rPr>
              <w:t>single tender</w:t>
            </w:r>
            <w:r w:rsidRPr="00B60873">
              <w:rPr>
                <w:rFonts w:ascii="Century Gothic" w:hAnsi="Century Gothic"/>
                <w:sz w:val="20"/>
                <w:szCs w:val="20"/>
                <w:lang w:val="en-GB"/>
              </w:rPr>
              <w:t>) correct?</w:t>
            </w:r>
            <w:r w:rsidR="00A73A23" w:rsidRPr="00B60873">
              <w:rPr>
                <w:rFonts w:ascii="Century Gothic" w:hAnsi="Century Gothic"/>
                <w:sz w:val="20"/>
                <w:szCs w:val="20"/>
                <w:lang w:val="en-GB"/>
              </w:rPr>
              <w:t xml:space="preserve"> (value in EUR</w:t>
            </w:r>
            <w:r w:rsidR="00AE51F9" w:rsidRPr="00B60873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E20B61">
              <w:rPr>
                <w:rFonts w:ascii="Century Gothic" w:hAnsi="Century Gothic"/>
                <w:sz w:val="20"/>
                <w:szCs w:val="20"/>
                <w:lang w:val="en-GB"/>
              </w:rPr>
              <w:t>more than EUR 2</w:t>
            </w:r>
            <w:r w:rsidR="00066D61">
              <w:rPr>
                <w:rFonts w:ascii="Century Gothic" w:hAnsi="Century Gothic"/>
                <w:sz w:val="20"/>
                <w:szCs w:val="20"/>
                <w:lang w:val="en-GB"/>
              </w:rPr>
              <w:t>.</w:t>
            </w:r>
            <w:r w:rsidR="00E20B61">
              <w:rPr>
                <w:rFonts w:ascii="Century Gothic" w:hAnsi="Century Gothic"/>
                <w:sz w:val="20"/>
                <w:szCs w:val="20"/>
                <w:lang w:val="en-GB"/>
              </w:rPr>
              <w:t xml:space="preserve">500 and </w:t>
            </w:r>
            <w:r w:rsidR="00956D02">
              <w:rPr>
                <w:rFonts w:ascii="Century Gothic" w:hAnsi="Century Gothic"/>
                <w:sz w:val="20"/>
                <w:szCs w:val="20"/>
                <w:lang w:val="en-GB"/>
              </w:rPr>
              <w:t xml:space="preserve">less than or </w:t>
            </w:r>
            <w:r w:rsidR="00AE51F9" w:rsidRPr="00B60873">
              <w:rPr>
                <w:rFonts w:ascii="Century Gothic" w:hAnsi="Century Gothic"/>
                <w:sz w:val="20"/>
                <w:szCs w:val="20"/>
                <w:lang w:val="en-GB"/>
              </w:rPr>
              <w:t xml:space="preserve">equal </w:t>
            </w:r>
            <w:r w:rsidR="00956D02">
              <w:rPr>
                <w:rFonts w:ascii="Century Gothic" w:hAnsi="Century Gothic"/>
                <w:sz w:val="20"/>
                <w:szCs w:val="20"/>
                <w:lang w:val="en-GB"/>
              </w:rPr>
              <w:t>to</w:t>
            </w:r>
            <w:r w:rsidR="00AE51F9" w:rsidRPr="00B60873">
              <w:rPr>
                <w:rFonts w:ascii="Century Gothic" w:hAnsi="Century Gothic"/>
                <w:sz w:val="20"/>
                <w:szCs w:val="20"/>
                <w:lang w:val="en-GB"/>
              </w:rPr>
              <w:t xml:space="preserve"> EUR </w:t>
            </w:r>
            <w:r w:rsidR="00956D02">
              <w:rPr>
                <w:rFonts w:ascii="Century Gothic" w:hAnsi="Century Gothic"/>
                <w:sz w:val="20"/>
                <w:szCs w:val="20"/>
                <w:lang w:val="en-GB"/>
              </w:rPr>
              <w:t>2</w:t>
            </w:r>
            <w:r w:rsidR="00AE51F9" w:rsidRPr="00B60873">
              <w:rPr>
                <w:rFonts w:ascii="Century Gothic" w:hAnsi="Century Gothic"/>
                <w:sz w:val="20"/>
                <w:szCs w:val="20"/>
                <w:lang w:val="en-GB"/>
              </w:rPr>
              <w:t>0 000</w:t>
            </w:r>
            <w:r w:rsidR="00CF2840">
              <w:rPr>
                <w:rFonts w:ascii="Century Gothic" w:hAnsi="Century Gothic"/>
                <w:sz w:val="20"/>
                <w:szCs w:val="20"/>
                <w:lang w:val="en-GB"/>
              </w:rPr>
              <w:t xml:space="preserve"> on the day of the invitation to tender</w:t>
            </w:r>
            <w:r w:rsidR="00736747" w:rsidRPr="00B60873">
              <w:rPr>
                <w:rFonts w:ascii="Century Gothic" w:hAnsi="Century Gothic"/>
                <w:sz w:val="20"/>
                <w:szCs w:val="20"/>
                <w:lang w:val="en-GB"/>
              </w:rPr>
              <w:t>)</w:t>
            </w:r>
            <w:r w:rsidR="00B84129">
              <w:rPr>
                <w:rStyle w:val="Odwoanieprzypisudolnego"/>
                <w:rFonts w:ascii="Century Gothic" w:hAnsi="Century Gothic"/>
                <w:sz w:val="20"/>
                <w:szCs w:val="20"/>
                <w:lang w:val="en-GB"/>
              </w:rPr>
              <w:footnoteReference w:id="5"/>
            </w:r>
            <w:r w:rsidR="0014236E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0460C6">
              <w:rPr>
                <w:rFonts w:ascii="Century Gothic" w:hAnsi="Century Gothic"/>
                <w:sz w:val="20"/>
                <w:szCs w:val="20"/>
                <w:lang w:val="en-GB"/>
              </w:rPr>
              <w:t xml:space="preserve">Is there any evidence of artificial splitting? </w:t>
            </w:r>
            <w:r w:rsidR="000460C6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#2)</w:t>
            </w:r>
          </w:p>
        </w:tc>
        <w:tc>
          <w:tcPr>
            <w:tcW w:w="1545" w:type="dxa"/>
            <w:vAlign w:val="center"/>
          </w:tcPr>
          <w:p w14:paraId="57880DA6" w14:textId="77777777" w:rsidR="00D85EF8" w:rsidRPr="00B60873" w:rsidRDefault="00D85EF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198072EC" w14:textId="77777777" w:rsidR="00D85EF8" w:rsidRPr="00B60873" w:rsidRDefault="00D85EF8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2313C2" w14:paraId="6F1D0AC0" w14:textId="77777777" w:rsidTr="0008734E">
        <w:tc>
          <w:tcPr>
            <w:tcW w:w="739" w:type="dxa"/>
            <w:vAlign w:val="center"/>
          </w:tcPr>
          <w:p w14:paraId="794E231F" w14:textId="2EDB936A" w:rsidR="002313C2" w:rsidRPr="00B60873" w:rsidRDefault="002313C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lastRenderedPageBreak/>
              <w:t>D</w:t>
            </w:r>
          </w:p>
        </w:tc>
        <w:tc>
          <w:tcPr>
            <w:tcW w:w="6355" w:type="dxa"/>
            <w:vAlign w:val="center"/>
          </w:tcPr>
          <w:p w14:paraId="45A6422A" w14:textId="318DB067" w:rsidR="002313C2" w:rsidRPr="00B60873" w:rsidRDefault="008D24CC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Are the services, supplies or works contracted under a framework contract not </w:t>
            </w:r>
            <w:r w:rsidR="0060160A">
              <w:rPr>
                <w:rFonts w:ascii="Century Gothic" w:hAnsi="Century Gothic"/>
                <w:sz w:val="20"/>
                <w:szCs w:val="20"/>
                <w:lang w:val="en-GB"/>
              </w:rPr>
              <w:t>linked to the Interreg project?</w:t>
            </w:r>
          </w:p>
        </w:tc>
        <w:tc>
          <w:tcPr>
            <w:tcW w:w="1545" w:type="dxa"/>
            <w:vAlign w:val="center"/>
          </w:tcPr>
          <w:p w14:paraId="1645204C" w14:textId="77777777" w:rsidR="002313C2" w:rsidRPr="00B60873" w:rsidRDefault="002313C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74F4D1AF" w14:textId="77777777" w:rsidR="002313C2" w:rsidRPr="00B60873" w:rsidRDefault="002313C2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0943DE" w14:paraId="1F2093CA" w14:textId="77777777" w:rsidTr="00AF0C3C">
        <w:tc>
          <w:tcPr>
            <w:tcW w:w="739" w:type="dxa"/>
            <w:shd w:val="clear" w:color="auto" w:fill="D9E2F3" w:themeFill="accent1" w:themeFillTint="33"/>
            <w:vAlign w:val="center"/>
          </w:tcPr>
          <w:p w14:paraId="5EDAEBFF" w14:textId="3F08CBC5" w:rsidR="000943DE" w:rsidRPr="000943DE" w:rsidRDefault="006A0E70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935" w:type="dxa"/>
            <w:gridSpan w:val="3"/>
            <w:shd w:val="clear" w:color="auto" w:fill="D9E2F3" w:themeFill="accent1" w:themeFillTint="33"/>
            <w:vAlign w:val="center"/>
          </w:tcPr>
          <w:p w14:paraId="70D46481" w14:textId="410F01C5" w:rsidR="000943DE" w:rsidRPr="00B60873" w:rsidRDefault="000943D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0943DE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Preparation</w:t>
            </w:r>
            <w:r w:rsidR="00C05521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 xml:space="preserve"> and procurement documents</w:t>
            </w:r>
          </w:p>
        </w:tc>
      </w:tr>
      <w:tr w:rsidR="00137C65" w14:paraId="2EF905B6" w14:textId="77777777" w:rsidTr="0008734E">
        <w:tc>
          <w:tcPr>
            <w:tcW w:w="739" w:type="dxa"/>
            <w:vAlign w:val="center"/>
          </w:tcPr>
          <w:p w14:paraId="5D850213" w14:textId="50A0D4CA" w:rsidR="00137C65" w:rsidRDefault="0005474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A</w:t>
            </w:r>
          </w:p>
        </w:tc>
        <w:tc>
          <w:tcPr>
            <w:tcW w:w="6355" w:type="dxa"/>
            <w:vAlign w:val="center"/>
          </w:tcPr>
          <w:p w14:paraId="52AD8252" w14:textId="021DF348" w:rsidR="00137C65" w:rsidRDefault="00AB5310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Did the procurement documents specify the subject matter of the procurement by providing a description of its needs and the characteristics</w:t>
            </w:r>
            <w:r w:rsidR="0082298E">
              <w:rPr>
                <w:rFonts w:ascii="Century Gothic" w:hAnsi="Century Gothic"/>
                <w:sz w:val="20"/>
                <w:szCs w:val="20"/>
                <w:lang w:val="en-GB"/>
              </w:rPr>
              <w:t xml:space="preserve"> required for the works, supplies or services to be bought?</w:t>
            </w:r>
            <w:r w:rsidR="005C649D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5C649D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#12</w:t>
            </w:r>
            <w:r w:rsidR="00BF7624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)</w:t>
            </w:r>
          </w:p>
        </w:tc>
        <w:tc>
          <w:tcPr>
            <w:tcW w:w="1545" w:type="dxa"/>
            <w:vAlign w:val="center"/>
          </w:tcPr>
          <w:p w14:paraId="656D6173" w14:textId="77777777" w:rsidR="00137C65" w:rsidRPr="00B60873" w:rsidRDefault="00137C6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30405491" w14:textId="77777777" w:rsidR="00137C65" w:rsidRPr="00B60873" w:rsidRDefault="00137C6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82298E" w14:paraId="4F552BFF" w14:textId="77777777" w:rsidTr="0008734E">
        <w:tc>
          <w:tcPr>
            <w:tcW w:w="739" w:type="dxa"/>
            <w:vAlign w:val="center"/>
          </w:tcPr>
          <w:p w14:paraId="41A01103" w14:textId="45102CE3" w:rsidR="0082298E" w:rsidRDefault="0005474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B</w:t>
            </w:r>
          </w:p>
        </w:tc>
        <w:tc>
          <w:tcPr>
            <w:tcW w:w="6355" w:type="dxa"/>
            <w:vAlign w:val="center"/>
          </w:tcPr>
          <w:p w14:paraId="34B96DA4" w14:textId="2CF82994" w:rsidR="0082298E" w:rsidRDefault="008D362D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In case of joint procurement not leaded by the beneficiary, did the controller of the lead beneficiary identify any</w:t>
            </w:r>
            <w:r w:rsidR="0041031B">
              <w:rPr>
                <w:rFonts w:ascii="Century Gothic" w:hAnsi="Century Gothic"/>
                <w:sz w:val="20"/>
                <w:szCs w:val="20"/>
                <w:lang w:val="en-GB"/>
              </w:rPr>
              <w:t xml:space="preserve"> irregularity in the procedure?</w:t>
            </w:r>
          </w:p>
        </w:tc>
        <w:tc>
          <w:tcPr>
            <w:tcW w:w="1545" w:type="dxa"/>
            <w:vAlign w:val="center"/>
          </w:tcPr>
          <w:p w14:paraId="48B00658" w14:textId="77777777" w:rsidR="0082298E" w:rsidRPr="00B60873" w:rsidRDefault="0082298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23F028AD" w14:textId="77777777" w:rsidR="0082298E" w:rsidRPr="00B60873" w:rsidRDefault="0082298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41031B" w14:paraId="576FCDFC" w14:textId="77777777" w:rsidTr="0008734E">
        <w:tc>
          <w:tcPr>
            <w:tcW w:w="739" w:type="dxa"/>
            <w:vAlign w:val="center"/>
          </w:tcPr>
          <w:p w14:paraId="238CD5E6" w14:textId="1896E2B3" w:rsidR="0041031B" w:rsidRDefault="0005474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C</w:t>
            </w:r>
          </w:p>
        </w:tc>
        <w:tc>
          <w:tcPr>
            <w:tcW w:w="6355" w:type="dxa"/>
            <w:vAlign w:val="center"/>
          </w:tcPr>
          <w:p w14:paraId="6CF6A607" w14:textId="38AE40AC" w:rsidR="0041031B" w:rsidRDefault="007945A6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Do the procurement documents include the invitation to tender, the tender specifications and the draft contract?</w:t>
            </w:r>
            <w:r w:rsidR="00062768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062768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#9)</w:t>
            </w:r>
          </w:p>
        </w:tc>
        <w:tc>
          <w:tcPr>
            <w:tcW w:w="1545" w:type="dxa"/>
            <w:vAlign w:val="center"/>
          </w:tcPr>
          <w:p w14:paraId="4D4C53B4" w14:textId="77777777" w:rsidR="0041031B" w:rsidRPr="00B60873" w:rsidRDefault="0041031B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0433EF4B" w14:textId="77777777" w:rsidR="0041031B" w:rsidRPr="00B60873" w:rsidRDefault="0041031B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83129E" w14:paraId="4FE54928" w14:textId="77777777" w:rsidTr="0083129E">
        <w:tc>
          <w:tcPr>
            <w:tcW w:w="739" w:type="dxa"/>
            <w:vMerge w:val="restart"/>
            <w:vAlign w:val="center"/>
          </w:tcPr>
          <w:p w14:paraId="057BA488" w14:textId="6F83A585" w:rsidR="0083129E" w:rsidRDefault="0005474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</w:t>
            </w:r>
          </w:p>
        </w:tc>
        <w:tc>
          <w:tcPr>
            <w:tcW w:w="13935" w:type="dxa"/>
            <w:gridSpan w:val="3"/>
            <w:shd w:val="clear" w:color="auto" w:fill="F2F2F2" w:themeFill="background1" w:themeFillShade="F2"/>
            <w:vAlign w:val="center"/>
          </w:tcPr>
          <w:p w14:paraId="69933857" w14:textId="47CEFD52" w:rsidR="0083129E" w:rsidRPr="00B60873" w:rsidRDefault="0083129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Do the </w:t>
            </w:r>
            <w:r w:rsidR="00CA5A8F">
              <w:rPr>
                <w:rFonts w:ascii="Century Gothic" w:hAnsi="Century Gothic"/>
                <w:sz w:val="20"/>
                <w:szCs w:val="20"/>
                <w:lang w:val="en-GB"/>
              </w:rPr>
              <w:t>procurement documents</w:t>
            </w:r>
            <w:r w:rsidR="00C35214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C35214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 xml:space="preserve">(types of irregularity </w:t>
            </w:r>
            <w:r w:rsidR="00316FA9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#</w:t>
            </w:r>
            <w:r w:rsidR="00C35214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9, 10 &amp; 11)</w:t>
            </w:r>
          </w:p>
        </w:tc>
      </w:tr>
      <w:tr w:rsidR="005415B2" w14:paraId="0439A92C" w14:textId="77777777" w:rsidTr="0008734E">
        <w:tc>
          <w:tcPr>
            <w:tcW w:w="739" w:type="dxa"/>
            <w:vMerge/>
            <w:vAlign w:val="center"/>
          </w:tcPr>
          <w:p w14:paraId="6F2FB7A6" w14:textId="77777777" w:rsidR="005415B2" w:rsidRDefault="005415B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14A55F42" w14:textId="571C034E" w:rsidR="005415B2" w:rsidRDefault="005415B2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0909F1">
              <w:rPr>
                <w:rFonts w:ascii="Century Gothic" w:hAnsi="Century Gothic"/>
                <w:sz w:val="20"/>
                <w:szCs w:val="20"/>
                <w:lang w:val="en-GB"/>
              </w:rPr>
              <w:t>the exclusion and selection criteria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?</w:t>
            </w:r>
          </w:p>
        </w:tc>
        <w:tc>
          <w:tcPr>
            <w:tcW w:w="1545" w:type="dxa"/>
            <w:vAlign w:val="center"/>
          </w:tcPr>
          <w:p w14:paraId="27441582" w14:textId="77777777" w:rsidR="005415B2" w:rsidRPr="00B60873" w:rsidRDefault="005415B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79F9EE58" w14:textId="77777777" w:rsidR="005415B2" w:rsidRPr="00B60873" w:rsidRDefault="005415B2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5415B2" w14:paraId="25108844" w14:textId="77777777" w:rsidTr="0008734E">
        <w:tc>
          <w:tcPr>
            <w:tcW w:w="739" w:type="dxa"/>
            <w:vMerge/>
            <w:vAlign w:val="center"/>
          </w:tcPr>
          <w:p w14:paraId="437F723B" w14:textId="77777777" w:rsidR="005415B2" w:rsidRDefault="005415B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0B4E28B0" w14:textId="4B18AF58" w:rsidR="005415B2" w:rsidRPr="00DA787F" w:rsidRDefault="005415B2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DC397C">
              <w:rPr>
                <w:rFonts w:ascii="Century Gothic" w:hAnsi="Century Gothic"/>
                <w:sz w:val="20"/>
                <w:szCs w:val="20"/>
                <w:lang w:val="en-GB"/>
              </w:rPr>
              <w:t>the technical specifications referred to in point 16 of Annex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 II?</w:t>
            </w:r>
          </w:p>
        </w:tc>
        <w:tc>
          <w:tcPr>
            <w:tcW w:w="1545" w:type="dxa"/>
            <w:vAlign w:val="center"/>
          </w:tcPr>
          <w:p w14:paraId="507BA6F4" w14:textId="77777777" w:rsidR="005415B2" w:rsidRPr="00B60873" w:rsidRDefault="005415B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32C0AF44" w14:textId="77777777" w:rsidR="005415B2" w:rsidRPr="00B60873" w:rsidRDefault="005415B2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66752C" w14:paraId="120363B1" w14:textId="77777777" w:rsidTr="0008734E">
        <w:tc>
          <w:tcPr>
            <w:tcW w:w="739" w:type="dxa"/>
            <w:vAlign w:val="center"/>
          </w:tcPr>
          <w:p w14:paraId="242B602C" w14:textId="2871DDDF" w:rsidR="0066752C" w:rsidRDefault="00316FA9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E</w:t>
            </w:r>
          </w:p>
        </w:tc>
        <w:tc>
          <w:tcPr>
            <w:tcW w:w="6355" w:type="dxa"/>
            <w:vAlign w:val="center"/>
          </w:tcPr>
          <w:p w14:paraId="2F152B03" w14:textId="2C40A21A" w:rsidR="0066752C" w:rsidRDefault="007948F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Did the t</w:t>
            </w:r>
            <w:r w:rsidRPr="007948F3">
              <w:rPr>
                <w:rFonts w:ascii="Century Gothic" w:hAnsi="Century Gothic"/>
                <w:sz w:val="20"/>
                <w:szCs w:val="20"/>
                <w:lang w:val="en-GB"/>
              </w:rPr>
              <w:t>echnical specifications shall include the characteristics required for works, supplies or services, including minimum requirements, so that they fulfil the use for which they are intended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?</w:t>
            </w:r>
            <w:r w:rsidR="00316FA9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316FA9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#12)</w:t>
            </w:r>
          </w:p>
        </w:tc>
        <w:tc>
          <w:tcPr>
            <w:tcW w:w="1545" w:type="dxa"/>
            <w:vAlign w:val="center"/>
          </w:tcPr>
          <w:p w14:paraId="5A1FE050" w14:textId="77777777" w:rsidR="0066752C" w:rsidRPr="00B60873" w:rsidRDefault="0066752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13ED4F2E" w14:textId="77777777" w:rsidR="0066752C" w:rsidRPr="00B60873" w:rsidRDefault="0066752C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0A6BF4" w14:paraId="6937F0AD" w14:textId="77777777" w:rsidTr="0008734E">
        <w:tc>
          <w:tcPr>
            <w:tcW w:w="739" w:type="dxa"/>
            <w:vMerge w:val="restart"/>
            <w:vAlign w:val="center"/>
          </w:tcPr>
          <w:p w14:paraId="4A318E5F" w14:textId="28E58DAD" w:rsidR="000A6BF4" w:rsidRDefault="007C481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F</w:t>
            </w:r>
          </w:p>
        </w:tc>
        <w:tc>
          <w:tcPr>
            <w:tcW w:w="6355" w:type="dxa"/>
            <w:vAlign w:val="center"/>
          </w:tcPr>
          <w:p w14:paraId="6A2FB4F7" w14:textId="559FAE56" w:rsidR="000A6BF4" w:rsidRPr="005C2016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Did </w:t>
            </w:r>
            <w:r w:rsidRPr="00F115EE">
              <w:rPr>
                <w:rFonts w:ascii="Century Gothic" w:hAnsi="Century Gothic"/>
                <w:sz w:val="20"/>
                <w:szCs w:val="20"/>
                <w:lang w:val="en-GB"/>
              </w:rPr>
              <w:t>technical specifications refer to a specific make or source, or a particular process which characterises the products or services provided by a specific economic operator, or to trademarks, patents, types or a specific origin or production with the effect of favouring or eliminating certain products or economic operators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?</w:t>
            </w:r>
            <w:r w:rsidR="00AB58A6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AB58A6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</w:t>
            </w:r>
            <w:r w:rsidR="00B679ED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s</w:t>
            </w:r>
            <w:r w:rsidR="00AB58A6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 xml:space="preserve"> of irregularity #1</w:t>
            </w:r>
            <w:r w:rsidR="00836DE8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0 &amp; 1</w:t>
            </w:r>
            <w:r w:rsidR="00AB58A6" w:rsidRPr="009B09BD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1)</w:t>
            </w:r>
          </w:p>
        </w:tc>
        <w:tc>
          <w:tcPr>
            <w:tcW w:w="1545" w:type="dxa"/>
            <w:vAlign w:val="center"/>
          </w:tcPr>
          <w:p w14:paraId="433E5B7F" w14:textId="77777777" w:rsidR="000A6BF4" w:rsidRPr="00B60873" w:rsidRDefault="000A6BF4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4A48E2F7" w14:textId="77777777" w:rsidR="000A6BF4" w:rsidRPr="00B60873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0A6BF4" w14:paraId="02E9C4B3" w14:textId="77777777" w:rsidTr="0008734E">
        <w:tc>
          <w:tcPr>
            <w:tcW w:w="739" w:type="dxa"/>
            <w:vMerge/>
            <w:vAlign w:val="center"/>
          </w:tcPr>
          <w:p w14:paraId="3A526996" w14:textId="77777777" w:rsidR="000A6BF4" w:rsidRDefault="000A6BF4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06A97A3C" w14:textId="6FC00376" w:rsidR="000A6BF4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If yes, is it justified because</w:t>
            </w:r>
            <w:r w:rsidRPr="00DB789B">
              <w:rPr>
                <w:rFonts w:ascii="Century Gothic" w:hAnsi="Century Gothic"/>
                <w:sz w:val="20"/>
                <w:szCs w:val="20"/>
                <w:lang w:val="en-GB"/>
              </w:rPr>
              <w:t xml:space="preserve"> a sufficiently detailed and intelligible description of the subject matter of the contract is not possible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? </w:t>
            </w:r>
          </w:p>
        </w:tc>
        <w:tc>
          <w:tcPr>
            <w:tcW w:w="1545" w:type="dxa"/>
            <w:vAlign w:val="center"/>
          </w:tcPr>
          <w:p w14:paraId="2EC30200" w14:textId="77777777" w:rsidR="000A6BF4" w:rsidRPr="00B60873" w:rsidRDefault="000A6BF4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0A30884E" w14:textId="77777777" w:rsidR="000A6BF4" w:rsidRPr="00B60873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0A6BF4" w14:paraId="7BC4367C" w14:textId="77777777" w:rsidTr="0008734E">
        <w:tc>
          <w:tcPr>
            <w:tcW w:w="739" w:type="dxa"/>
            <w:vMerge/>
            <w:vAlign w:val="center"/>
          </w:tcPr>
          <w:p w14:paraId="395517C7" w14:textId="77777777" w:rsidR="000A6BF4" w:rsidRDefault="000A6BF4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107DF228" w14:textId="719A0AD7" w:rsidR="000A6BF4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If yes, is the refence accompanied by the words ‘or equivalent’?</w:t>
            </w:r>
          </w:p>
        </w:tc>
        <w:tc>
          <w:tcPr>
            <w:tcW w:w="1545" w:type="dxa"/>
            <w:vAlign w:val="center"/>
          </w:tcPr>
          <w:p w14:paraId="4ABF993C" w14:textId="77777777" w:rsidR="000A6BF4" w:rsidRPr="00B60873" w:rsidRDefault="000A6BF4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33666F2F" w14:textId="77777777" w:rsidR="000A6BF4" w:rsidRPr="00B60873" w:rsidRDefault="000A6BF4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4A5E63" w14:paraId="385FD79F" w14:textId="77777777" w:rsidTr="004A5E63">
        <w:tc>
          <w:tcPr>
            <w:tcW w:w="739" w:type="dxa"/>
            <w:shd w:val="clear" w:color="auto" w:fill="D9E2F3" w:themeFill="accent1" w:themeFillTint="33"/>
            <w:vAlign w:val="center"/>
          </w:tcPr>
          <w:p w14:paraId="704E8231" w14:textId="2DCA4BF3" w:rsidR="004A5E63" w:rsidRPr="004A5E63" w:rsidRDefault="004A5E63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</w:pPr>
            <w:r w:rsidRPr="004A5E63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13935" w:type="dxa"/>
            <w:gridSpan w:val="3"/>
            <w:shd w:val="clear" w:color="auto" w:fill="D9E2F3" w:themeFill="accent1" w:themeFillTint="33"/>
            <w:vAlign w:val="center"/>
          </w:tcPr>
          <w:p w14:paraId="4041D39C" w14:textId="17CF711B" w:rsidR="004A5E63" w:rsidRPr="004A5E63" w:rsidRDefault="004A5E63" w:rsidP="002A532D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</w:pPr>
            <w:r w:rsidRPr="004A5E63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Exclusion, selection and award criteria</w:t>
            </w:r>
          </w:p>
        </w:tc>
      </w:tr>
      <w:tr w:rsidR="00F47025" w14:paraId="69BA3E5F" w14:textId="77777777" w:rsidTr="0008734E">
        <w:tc>
          <w:tcPr>
            <w:tcW w:w="739" w:type="dxa"/>
            <w:vMerge w:val="restart"/>
            <w:vAlign w:val="center"/>
          </w:tcPr>
          <w:p w14:paraId="4507A024" w14:textId="046DFB1D" w:rsidR="00F47025" w:rsidRDefault="00F4702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lastRenderedPageBreak/>
              <w:t>A</w:t>
            </w:r>
          </w:p>
        </w:tc>
        <w:tc>
          <w:tcPr>
            <w:tcW w:w="6355" w:type="dxa"/>
            <w:vAlign w:val="center"/>
          </w:tcPr>
          <w:p w14:paraId="50975912" w14:textId="53BD2ABD" w:rsidR="00F47025" w:rsidRDefault="00F4702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Do the procurement documents request a declaration on honour signed and dates, by which the tenderer declares and evidences the absence of an exclusion situation in accordance with Article 137 of the Financial Regulation? </w:t>
            </w:r>
          </w:p>
        </w:tc>
        <w:tc>
          <w:tcPr>
            <w:tcW w:w="1545" w:type="dxa"/>
            <w:vAlign w:val="center"/>
          </w:tcPr>
          <w:p w14:paraId="5940F921" w14:textId="77777777" w:rsidR="00F47025" w:rsidRPr="00B60873" w:rsidRDefault="00F4702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2CA24EEA" w14:textId="77777777" w:rsidR="00F47025" w:rsidRPr="00B60873" w:rsidRDefault="00F4702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F47025" w14:paraId="30D7D5FC" w14:textId="77777777" w:rsidTr="0008734E">
        <w:tc>
          <w:tcPr>
            <w:tcW w:w="739" w:type="dxa"/>
            <w:vMerge/>
            <w:vAlign w:val="center"/>
          </w:tcPr>
          <w:p w14:paraId="4C93C9C3" w14:textId="77777777" w:rsidR="00F47025" w:rsidRDefault="00F4702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5CB02ADC" w14:textId="3F1DEFB4" w:rsidR="00F47025" w:rsidRDefault="00F4702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If no, was the requirement waived because the value of the contract is not exceeding EUR 15 000?</w:t>
            </w:r>
            <w:r>
              <w:rPr>
                <w:rStyle w:val="Odwoanieprzypisudolnego"/>
                <w:rFonts w:ascii="Century Gothic" w:hAnsi="Century Gothic"/>
                <w:sz w:val="20"/>
                <w:szCs w:val="20"/>
                <w:lang w:val="en-GB"/>
              </w:rPr>
              <w:footnoteReference w:id="6"/>
            </w:r>
          </w:p>
        </w:tc>
        <w:tc>
          <w:tcPr>
            <w:tcW w:w="1545" w:type="dxa"/>
            <w:vAlign w:val="center"/>
          </w:tcPr>
          <w:p w14:paraId="6D691EC6" w14:textId="77777777" w:rsidR="00F47025" w:rsidRPr="00B60873" w:rsidRDefault="00F4702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74CE7E7F" w14:textId="77777777" w:rsidR="00F47025" w:rsidRPr="00B60873" w:rsidRDefault="00F4702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7E6133" w14:paraId="3EA1C32C" w14:textId="77777777" w:rsidTr="0008734E">
        <w:tc>
          <w:tcPr>
            <w:tcW w:w="739" w:type="dxa"/>
            <w:vMerge w:val="restart"/>
            <w:vAlign w:val="center"/>
          </w:tcPr>
          <w:p w14:paraId="6CB9A396" w14:textId="09EAEEE5" w:rsidR="007E6133" w:rsidRDefault="007E613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B</w:t>
            </w:r>
          </w:p>
        </w:tc>
        <w:tc>
          <w:tcPr>
            <w:tcW w:w="6355" w:type="dxa"/>
            <w:vAlign w:val="center"/>
          </w:tcPr>
          <w:p w14:paraId="28C593CD" w14:textId="6AC33A61" w:rsidR="007E6133" w:rsidRDefault="007E613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Do the procurement documents include the selection criteria, the minimum levels of capacity and the evidence to prove that capacity?</w:t>
            </w:r>
            <w:r w:rsidR="00B679ED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B679ED" w:rsidRPr="00CF3F05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(types of irregularity #10 &amp; 11)</w:t>
            </w:r>
          </w:p>
        </w:tc>
        <w:tc>
          <w:tcPr>
            <w:tcW w:w="1545" w:type="dxa"/>
            <w:vAlign w:val="center"/>
          </w:tcPr>
          <w:p w14:paraId="3EC3DEF0" w14:textId="77777777" w:rsidR="007E6133" w:rsidRPr="00B60873" w:rsidRDefault="007E613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7B4C7141" w14:textId="77777777" w:rsidR="007E6133" w:rsidRPr="00B60873" w:rsidRDefault="007E613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7E6133" w14:paraId="573222FC" w14:textId="77777777" w:rsidTr="0008734E">
        <w:tc>
          <w:tcPr>
            <w:tcW w:w="739" w:type="dxa"/>
            <w:vMerge/>
            <w:vAlign w:val="center"/>
          </w:tcPr>
          <w:p w14:paraId="71553255" w14:textId="77777777" w:rsidR="007E6133" w:rsidRDefault="007E613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6C78CA4E" w14:textId="7254511F" w:rsidR="007E6133" w:rsidRDefault="007E613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Are the above-mentioned requirements proportionate to the subject matter of the contract?</w:t>
            </w:r>
          </w:p>
        </w:tc>
        <w:tc>
          <w:tcPr>
            <w:tcW w:w="1545" w:type="dxa"/>
            <w:vAlign w:val="center"/>
          </w:tcPr>
          <w:p w14:paraId="70F61409" w14:textId="77777777" w:rsidR="007E6133" w:rsidRPr="00B60873" w:rsidRDefault="007E613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2B6B874B" w14:textId="77777777" w:rsidR="007E6133" w:rsidRPr="00B60873" w:rsidRDefault="007E613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</w:tr>
      <w:tr w:rsidR="00C14B43" w14:paraId="4ED59D12" w14:textId="77777777" w:rsidTr="0008734E">
        <w:tc>
          <w:tcPr>
            <w:tcW w:w="739" w:type="dxa"/>
            <w:vMerge w:val="restart"/>
            <w:vAlign w:val="center"/>
          </w:tcPr>
          <w:p w14:paraId="3FE1AF86" w14:textId="24C2173D" w:rsidR="00C14B43" w:rsidRDefault="0074616B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C</w:t>
            </w:r>
          </w:p>
        </w:tc>
        <w:tc>
          <w:tcPr>
            <w:tcW w:w="6355" w:type="dxa"/>
            <w:vAlign w:val="center"/>
          </w:tcPr>
          <w:p w14:paraId="501777B4" w14:textId="50E0A8FB" w:rsidR="00C14B43" w:rsidRDefault="00C14B43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Do the procurement document set the lowest price method?</w:t>
            </w:r>
          </w:p>
        </w:tc>
        <w:tc>
          <w:tcPr>
            <w:tcW w:w="1545" w:type="dxa"/>
            <w:vAlign w:val="center"/>
          </w:tcPr>
          <w:p w14:paraId="2F5824EF" w14:textId="77777777" w:rsidR="00C14B43" w:rsidRPr="0052687E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638DB7EB" w14:textId="77777777" w:rsidR="00C14B43" w:rsidRPr="00274054" w:rsidRDefault="00C14B4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C14B43" w14:paraId="6A36BC13" w14:textId="77777777" w:rsidTr="0008734E">
        <w:tc>
          <w:tcPr>
            <w:tcW w:w="739" w:type="dxa"/>
            <w:vMerge/>
            <w:vAlign w:val="center"/>
          </w:tcPr>
          <w:p w14:paraId="3A1DBB1A" w14:textId="77777777" w:rsidR="00C14B43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219FBA80" w14:textId="0D9E4027" w:rsidR="00C14B43" w:rsidRDefault="00C14B43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If not, do they specify the relative weighting</w:t>
            </w:r>
            <w:r>
              <w:rPr>
                <w:rStyle w:val="Odwoanieprzypisudolnego"/>
                <w:rFonts w:ascii="Century Gothic" w:hAnsi="Century Gothic"/>
                <w:sz w:val="20"/>
                <w:szCs w:val="20"/>
                <w:lang w:val="en-GB"/>
              </w:rPr>
              <w:footnoteReference w:id="7"/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 for each criterion chosen to determine the most economically advantageous tender?</w:t>
            </w:r>
            <w:r w:rsidR="004F35E3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4F35E3" w:rsidRPr="00CF3F05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#9)</w:t>
            </w:r>
          </w:p>
        </w:tc>
        <w:tc>
          <w:tcPr>
            <w:tcW w:w="1545" w:type="dxa"/>
            <w:vAlign w:val="center"/>
          </w:tcPr>
          <w:p w14:paraId="07C2831D" w14:textId="77777777" w:rsidR="00C14B43" w:rsidRPr="0052687E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4C2CB55E" w14:textId="77777777" w:rsidR="00C14B43" w:rsidRPr="00274054" w:rsidRDefault="00C14B4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C14B43" w14:paraId="0FCB225B" w14:textId="77777777" w:rsidTr="0008734E">
        <w:tc>
          <w:tcPr>
            <w:tcW w:w="739" w:type="dxa"/>
            <w:vMerge/>
            <w:vAlign w:val="center"/>
          </w:tcPr>
          <w:p w14:paraId="4246557D" w14:textId="77777777" w:rsidR="00C14B43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1F4A7906" w14:textId="00BDF590" w:rsidR="00C14B43" w:rsidRDefault="00C14B43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 xml:space="preserve">Does the </w:t>
            </w:r>
            <w:r w:rsidRPr="00DB462A">
              <w:rPr>
                <w:rFonts w:ascii="Century Gothic" w:hAnsi="Century Gothic"/>
                <w:sz w:val="20"/>
                <w:szCs w:val="20"/>
                <w:lang w:val="en-GB"/>
              </w:rPr>
              <w:t>weighting applied to price or cost in relation to the other criteria result in the neutralisation of price or cost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?</w:t>
            </w:r>
            <w:r w:rsidR="00FF42B2">
              <w:rPr>
                <w:rFonts w:ascii="Century Gothic" w:hAnsi="Century Gothic"/>
                <w:sz w:val="20"/>
                <w:szCs w:val="20"/>
                <w:lang w:val="en-GB"/>
              </w:rPr>
              <w:t xml:space="preserve"> </w:t>
            </w:r>
            <w:r w:rsidR="00CF3F05" w:rsidRPr="00CF3F05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#9)</w:t>
            </w:r>
          </w:p>
        </w:tc>
        <w:tc>
          <w:tcPr>
            <w:tcW w:w="1545" w:type="dxa"/>
            <w:vAlign w:val="center"/>
          </w:tcPr>
          <w:p w14:paraId="0711A224" w14:textId="77777777" w:rsidR="00C14B43" w:rsidRPr="0052687E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4A85F314" w14:textId="77777777" w:rsidR="00C14B43" w:rsidRPr="00274054" w:rsidRDefault="00C14B4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C14B43" w14:paraId="59A59CFF" w14:textId="77777777" w:rsidTr="0008734E">
        <w:tc>
          <w:tcPr>
            <w:tcW w:w="739" w:type="dxa"/>
            <w:vMerge/>
            <w:vAlign w:val="center"/>
          </w:tcPr>
          <w:p w14:paraId="0BAD82B5" w14:textId="77777777" w:rsidR="00C14B43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1A7BFE2C" w14:textId="2B8B3AEB" w:rsidR="00C14B43" w:rsidRDefault="00C14B43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GB"/>
              </w:rPr>
            </w:pPr>
            <w:r w:rsidRPr="001854FF">
              <w:rPr>
                <w:rFonts w:ascii="Century Gothic" w:hAnsi="Century Gothic"/>
                <w:sz w:val="20"/>
                <w:szCs w:val="20"/>
                <w:lang w:val="en-GB"/>
              </w:rPr>
              <w:t xml:space="preserve">If weighting is not possible for objective reasons, 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do the procurement documents</w:t>
            </w:r>
            <w:r w:rsidRPr="001854FF">
              <w:rPr>
                <w:rFonts w:ascii="Century Gothic" w:hAnsi="Century Gothic"/>
                <w:sz w:val="20"/>
                <w:szCs w:val="20"/>
                <w:lang w:val="en-GB"/>
              </w:rPr>
              <w:t xml:space="preserve"> indicate the criteria in decreasing order of importance</w:t>
            </w:r>
            <w:r>
              <w:rPr>
                <w:rFonts w:ascii="Century Gothic" w:hAnsi="Century Gothic"/>
                <w:sz w:val="20"/>
                <w:szCs w:val="20"/>
                <w:lang w:val="en-GB"/>
              </w:rPr>
              <w:t>?</w:t>
            </w:r>
            <w:r w:rsidR="00FF42B2">
              <w:rPr>
                <w:rFonts w:ascii="Century Gothic" w:hAnsi="Century Gothic"/>
                <w:sz w:val="20"/>
                <w:szCs w:val="20"/>
                <w:lang w:val="en-GB"/>
              </w:rPr>
              <w:t xml:space="preserve">  </w:t>
            </w:r>
            <w:r w:rsidR="00CF3F05" w:rsidRPr="00CF3F05">
              <w:rPr>
                <w:rFonts w:ascii="Century Gothic" w:hAnsi="Century Gothic"/>
                <w:i/>
                <w:iCs/>
                <w:sz w:val="20"/>
                <w:szCs w:val="20"/>
                <w:lang w:val="en-GB"/>
              </w:rPr>
              <w:t>(type of irregularity #9)</w:t>
            </w:r>
          </w:p>
        </w:tc>
        <w:tc>
          <w:tcPr>
            <w:tcW w:w="1545" w:type="dxa"/>
            <w:vAlign w:val="center"/>
          </w:tcPr>
          <w:p w14:paraId="21D29C1A" w14:textId="77777777" w:rsidR="00C14B43" w:rsidRPr="0052687E" w:rsidRDefault="00C14B43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vAlign w:val="center"/>
          </w:tcPr>
          <w:p w14:paraId="27BB5B2D" w14:textId="77777777" w:rsidR="00C14B43" w:rsidRPr="00274054" w:rsidRDefault="00C14B43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8D5645" w14:paraId="52AC3E51" w14:textId="77777777" w:rsidTr="008D5645">
        <w:tc>
          <w:tcPr>
            <w:tcW w:w="739" w:type="dxa"/>
            <w:shd w:val="clear" w:color="auto" w:fill="D9E2F3" w:themeFill="accent1" w:themeFillTint="33"/>
            <w:vAlign w:val="center"/>
          </w:tcPr>
          <w:p w14:paraId="607AEE46" w14:textId="34DF931D" w:rsidR="008D5645" w:rsidRPr="008D5645" w:rsidRDefault="008D5645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</w:pPr>
            <w:r w:rsidRPr="008D5645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3935" w:type="dxa"/>
            <w:gridSpan w:val="3"/>
            <w:shd w:val="clear" w:color="auto" w:fill="D9E2F3" w:themeFill="accent1" w:themeFillTint="33"/>
            <w:vAlign w:val="center"/>
          </w:tcPr>
          <w:p w14:paraId="22DEA6A8" w14:textId="660D282E" w:rsidR="008D5645" w:rsidRPr="008D5645" w:rsidRDefault="008D5645" w:rsidP="002A532D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8D5645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Submission, evaluation and award criteria</w:t>
            </w:r>
          </w:p>
        </w:tc>
      </w:tr>
      <w:tr w:rsidR="00447E61" w14:paraId="31E1C63B" w14:textId="77777777" w:rsidTr="0008734E">
        <w:tc>
          <w:tcPr>
            <w:tcW w:w="739" w:type="dxa"/>
            <w:vMerge w:val="restart"/>
            <w:vAlign w:val="center"/>
          </w:tcPr>
          <w:p w14:paraId="2774EECC" w14:textId="125FF1F9" w:rsidR="00447E61" w:rsidRDefault="0082283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A</w:t>
            </w:r>
          </w:p>
        </w:tc>
        <w:tc>
          <w:tcPr>
            <w:tcW w:w="6355" w:type="dxa"/>
            <w:vAlign w:val="center"/>
          </w:tcPr>
          <w:p w14:paraId="4BF9D968" w14:textId="03D50D54" w:rsidR="00447E61" w:rsidRDefault="00447E61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communicate additional information about the procurement documents before the time limit of submission of tenders?</w:t>
            </w:r>
          </w:p>
        </w:tc>
        <w:tc>
          <w:tcPr>
            <w:tcW w:w="1545" w:type="dxa"/>
            <w:vAlign w:val="center"/>
          </w:tcPr>
          <w:p w14:paraId="4B1647B1" w14:textId="77777777" w:rsidR="00447E61" w:rsidRPr="00C14B43" w:rsidRDefault="00447E6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30C93422" w14:textId="77777777" w:rsidR="00447E61" w:rsidRPr="00C14B43" w:rsidRDefault="00447E61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447E61" w14:paraId="77542935" w14:textId="77777777" w:rsidTr="0008734E">
        <w:tc>
          <w:tcPr>
            <w:tcW w:w="739" w:type="dxa"/>
            <w:vMerge/>
            <w:vAlign w:val="center"/>
          </w:tcPr>
          <w:p w14:paraId="6A434B8C" w14:textId="77777777" w:rsidR="00447E61" w:rsidRDefault="00447E6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32B62C80" w14:textId="0013719B" w:rsidR="00447E61" w:rsidRDefault="00447E61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If yes, was information provided disclosed and available to all tenderers?</w:t>
            </w:r>
          </w:p>
        </w:tc>
        <w:tc>
          <w:tcPr>
            <w:tcW w:w="1545" w:type="dxa"/>
            <w:vAlign w:val="center"/>
          </w:tcPr>
          <w:p w14:paraId="11D600E5" w14:textId="77777777" w:rsidR="00447E61" w:rsidRPr="00C14B43" w:rsidRDefault="00447E6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59ED153A" w14:textId="77777777" w:rsidR="00447E61" w:rsidRPr="00C14B43" w:rsidRDefault="00447E61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447E61" w14:paraId="75D59E61" w14:textId="77777777" w:rsidTr="0008734E">
        <w:tc>
          <w:tcPr>
            <w:tcW w:w="739" w:type="dxa"/>
            <w:vMerge/>
            <w:vAlign w:val="center"/>
          </w:tcPr>
          <w:p w14:paraId="575DC6B9" w14:textId="77777777" w:rsidR="00447E61" w:rsidRDefault="00447E6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439D7A3A" w14:textId="790EF8FF" w:rsidR="00447E61" w:rsidRDefault="00447E61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keep record in the procurement file of any contact with tenderers after the time limit for submission of tenders?</w:t>
            </w:r>
          </w:p>
        </w:tc>
        <w:tc>
          <w:tcPr>
            <w:tcW w:w="1545" w:type="dxa"/>
            <w:vAlign w:val="center"/>
          </w:tcPr>
          <w:p w14:paraId="0B66E6CE" w14:textId="77777777" w:rsidR="00447E61" w:rsidRPr="00C14B43" w:rsidRDefault="00447E6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05B11740" w14:textId="77777777" w:rsidR="00447E61" w:rsidRPr="00C14B43" w:rsidRDefault="00447E61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123BC5" w14:paraId="7F9CC048" w14:textId="77777777" w:rsidTr="0008734E">
        <w:tc>
          <w:tcPr>
            <w:tcW w:w="739" w:type="dxa"/>
            <w:vAlign w:val="center"/>
          </w:tcPr>
          <w:p w14:paraId="4E905754" w14:textId="05D2871F" w:rsidR="00123BC5" w:rsidRDefault="0082283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lastRenderedPageBreak/>
              <w:t>B</w:t>
            </w:r>
          </w:p>
        </w:tc>
        <w:tc>
          <w:tcPr>
            <w:tcW w:w="6355" w:type="dxa"/>
            <w:vAlign w:val="center"/>
          </w:tcPr>
          <w:p w14:paraId="12731E8A" w14:textId="038BD780" w:rsidR="00123BC5" w:rsidRDefault="003E1372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waive the appointment of an evaluation committee?</w:t>
            </w:r>
            <w:r w:rsidR="00CB1D9B">
              <w:rPr>
                <w:rStyle w:val="Odwoanieprzypisudolnego"/>
                <w:rFonts w:ascii="Century Gothic" w:hAnsi="Century Gothic"/>
                <w:sz w:val="20"/>
                <w:szCs w:val="20"/>
                <w:lang w:val="en-US"/>
              </w:rPr>
              <w:footnoteReference w:id="8"/>
            </w:r>
            <w:r w:rsidR="007B43D0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45" w:type="dxa"/>
            <w:vAlign w:val="center"/>
          </w:tcPr>
          <w:p w14:paraId="6567529F" w14:textId="77777777" w:rsidR="00123BC5" w:rsidRPr="00C14B43" w:rsidRDefault="00123BC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47D98A55" w14:textId="77777777" w:rsidR="00123BC5" w:rsidRPr="00C14B43" w:rsidRDefault="00123BC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6A759E" w14:paraId="421937F5" w14:textId="77777777" w:rsidTr="0008734E">
        <w:tc>
          <w:tcPr>
            <w:tcW w:w="739" w:type="dxa"/>
            <w:vMerge w:val="restart"/>
            <w:vAlign w:val="center"/>
          </w:tcPr>
          <w:p w14:paraId="4F671C09" w14:textId="7896636F" w:rsidR="006A759E" w:rsidRDefault="0082283A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C</w:t>
            </w:r>
          </w:p>
        </w:tc>
        <w:tc>
          <w:tcPr>
            <w:tcW w:w="6355" w:type="dxa"/>
            <w:vAlign w:val="center"/>
          </w:tcPr>
          <w:p w14:paraId="41AB5F69" w14:textId="46B79873" w:rsidR="006A759E" w:rsidRDefault="006A759E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reject any tender for the reasons in point 24.3 of Annex II?</w:t>
            </w:r>
          </w:p>
        </w:tc>
        <w:tc>
          <w:tcPr>
            <w:tcW w:w="1545" w:type="dxa"/>
            <w:vAlign w:val="center"/>
          </w:tcPr>
          <w:p w14:paraId="66780653" w14:textId="77777777" w:rsidR="006A759E" w:rsidRPr="00C14B43" w:rsidRDefault="006A759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25978D6C" w14:textId="77777777" w:rsidR="006A759E" w:rsidRPr="00C14B43" w:rsidRDefault="006A759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6A759E" w14:paraId="25D14B6D" w14:textId="77777777" w:rsidTr="0008734E">
        <w:tc>
          <w:tcPr>
            <w:tcW w:w="739" w:type="dxa"/>
            <w:vMerge/>
            <w:vAlign w:val="center"/>
          </w:tcPr>
          <w:p w14:paraId="1097AB8C" w14:textId="77777777" w:rsidR="006A759E" w:rsidRDefault="006A759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259CC65E" w14:textId="374E310C" w:rsidR="006A759E" w:rsidRDefault="006A759E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consider any tender as irregular for the reasons in point 24.4 of Annex II?</w:t>
            </w:r>
            <w:r w:rsidR="00482405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482405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#18)</w:t>
            </w:r>
          </w:p>
        </w:tc>
        <w:tc>
          <w:tcPr>
            <w:tcW w:w="1545" w:type="dxa"/>
            <w:vAlign w:val="center"/>
          </w:tcPr>
          <w:p w14:paraId="0A72D9F2" w14:textId="77777777" w:rsidR="006A759E" w:rsidRPr="00C14B43" w:rsidRDefault="006A759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731FCB90" w14:textId="77777777" w:rsidR="006A759E" w:rsidRPr="00C14B43" w:rsidRDefault="006A759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6A759E" w14:paraId="56BF970E" w14:textId="77777777" w:rsidTr="0008734E">
        <w:tc>
          <w:tcPr>
            <w:tcW w:w="739" w:type="dxa"/>
            <w:vMerge/>
            <w:vAlign w:val="center"/>
          </w:tcPr>
          <w:p w14:paraId="054814EA" w14:textId="77777777" w:rsidR="006A759E" w:rsidRDefault="006A759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39570EC7" w14:textId="61A747A2" w:rsidR="006A759E" w:rsidRDefault="006A759E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consider any tender as unacceptable for the reasons in point 24.5 of Annex II?</w:t>
            </w:r>
            <w:r w:rsidR="00482405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482405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#18)</w:t>
            </w:r>
          </w:p>
        </w:tc>
        <w:tc>
          <w:tcPr>
            <w:tcW w:w="1545" w:type="dxa"/>
            <w:vAlign w:val="center"/>
          </w:tcPr>
          <w:p w14:paraId="5BDEC3DB" w14:textId="77777777" w:rsidR="006A759E" w:rsidRPr="00C14B43" w:rsidRDefault="006A759E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0C0C810D" w14:textId="77777777" w:rsidR="006A759E" w:rsidRPr="00C14B43" w:rsidRDefault="006A759E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8911F5" w14:paraId="1E9D1941" w14:textId="77777777" w:rsidTr="0008734E">
        <w:tc>
          <w:tcPr>
            <w:tcW w:w="739" w:type="dxa"/>
            <w:vMerge w:val="restart"/>
            <w:vAlign w:val="center"/>
          </w:tcPr>
          <w:p w14:paraId="022C47A6" w14:textId="422D2232" w:rsidR="008911F5" w:rsidRDefault="00A32B86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D</w:t>
            </w:r>
          </w:p>
        </w:tc>
        <w:tc>
          <w:tcPr>
            <w:tcW w:w="6355" w:type="dxa"/>
            <w:vAlign w:val="center"/>
          </w:tcPr>
          <w:p w14:paraId="77C568E5" w14:textId="33672EAE" w:rsidR="008911F5" w:rsidRDefault="008911F5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Did the evaluation committee </w:t>
            </w:r>
            <w:r w:rsidR="00B02447">
              <w:rPr>
                <w:rFonts w:ascii="Century Gothic" w:hAnsi="Century Gothic"/>
                <w:sz w:val="20"/>
                <w:szCs w:val="20"/>
                <w:lang w:val="en-US"/>
              </w:rPr>
              <w:t>or</w:t>
            </w:r>
            <w:r w:rsidR="00851EF6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851EF6" w:rsidRPr="003E3480">
              <w:rPr>
                <w:rFonts w:ascii="Century Gothic" w:hAnsi="Century Gothic"/>
                <w:sz w:val="20"/>
                <w:szCs w:val="20"/>
                <w:lang w:val="en-US"/>
              </w:rPr>
              <w:t>by the person or persons who carried out the evaluation</w:t>
            </w:r>
            <w:r w:rsidR="00731C93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identify abnormally low tenders?</w:t>
            </w:r>
          </w:p>
        </w:tc>
        <w:tc>
          <w:tcPr>
            <w:tcW w:w="1545" w:type="dxa"/>
            <w:vAlign w:val="center"/>
          </w:tcPr>
          <w:p w14:paraId="6B55FEDE" w14:textId="77777777" w:rsidR="008911F5" w:rsidRPr="00C14B43" w:rsidRDefault="008911F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5D1F8E25" w14:textId="77777777" w:rsidR="008911F5" w:rsidRPr="00C14B43" w:rsidRDefault="008911F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8911F5" w14:paraId="27A46D50" w14:textId="77777777" w:rsidTr="0008734E">
        <w:tc>
          <w:tcPr>
            <w:tcW w:w="739" w:type="dxa"/>
            <w:vMerge/>
            <w:vAlign w:val="center"/>
          </w:tcPr>
          <w:p w14:paraId="407049BC" w14:textId="77777777" w:rsidR="008911F5" w:rsidRDefault="008911F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2EC98BE3" w14:textId="341D80EB" w:rsidR="008911F5" w:rsidRDefault="008911F5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If </w:t>
            </w:r>
            <w:r w:rsidR="00570A9D">
              <w:rPr>
                <w:rFonts w:ascii="Century Gothic" w:hAnsi="Century Gothic"/>
                <w:sz w:val="20"/>
                <w:szCs w:val="20"/>
                <w:lang w:val="en-US"/>
              </w:rPr>
              <w:t>rejected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, did the beneficiary request in writing details of the constituent elements of the price or costs and give the tenderer to present its observations</w:t>
            </w:r>
            <w:r>
              <w:rPr>
                <w:rStyle w:val="Odwoanieprzypisudolnego"/>
                <w:rFonts w:ascii="Century Gothic" w:hAnsi="Century Gothic"/>
                <w:sz w:val="20"/>
                <w:szCs w:val="20"/>
                <w:lang w:val="en-US"/>
              </w:rPr>
              <w:footnoteReference w:id="9"/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?</w:t>
            </w:r>
            <w:r w:rsidR="00570A9D">
              <w:rPr>
                <w:rFonts w:ascii="Century Gothic" w:hAnsi="Century Gothic"/>
                <w:sz w:val="20"/>
                <w:szCs w:val="20"/>
                <w:lang w:val="en-US"/>
              </w:rPr>
              <w:t xml:space="preserve"> Is the rejection justified? </w:t>
            </w:r>
            <w:r w:rsidR="00570A9D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#20)</w:t>
            </w:r>
          </w:p>
        </w:tc>
        <w:tc>
          <w:tcPr>
            <w:tcW w:w="1545" w:type="dxa"/>
            <w:vAlign w:val="center"/>
          </w:tcPr>
          <w:p w14:paraId="05084E19" w14:textId="77777777" w:rsidR="008911F5" w:rsidRPr="00C14B43" w:rsidRDefault="008911F5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2AA8C543" w14:textId="77777777" w:rsidR="008911F5" w:rsidRPr="00C14B43" w:rsidRDefault="008911F5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711E18" w14:paraId="51213955" w14:textId="77777777" w:rsidTr="0008734E">
        <w:tc>
          <w:tcPr>
            <w:tcW w:w="739" w:type="dxa"/>
            <w:vMerge w:val="restart"/>
            <w:vAlign w:val="center"/>
          </w:tcPr>
          <w:p w14:paraId="33A10C93" w14:textId="5885AF4E" w:rsidR="00711E18" w:rsidRDefault="006F5C1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E</w:t>
            </w:r>
          </w:p>
        </w:tc>
        <w:tc>
          <w:tcPr>
            <w:tcW w:w="6355" w:type="dxa"/>
            <w:vAlign w:val="center"/>
          </w:tcPr>
          <w:p w14:paraId="446C35AC" w14:textId="41681A93" w:rsidR="00711E18" w:rsidRDefault="00711E18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Is there an evaluation report </w:t>
            </w:r>
            <w:r w:rsidRPr="003E3480">
              <w:rPr>
                <w:rFonts w:ascii="Century Gothic" w:hAnsi="Century Gothic"/>
                <w:sz w:val="20"/>
                <w:szCs w:val="20"/>
                <w:lang w:val="en-US"/>
              </w:rPr>
              <w:t>dated and signed by the person or persons who carried out the evaluation or by the members of the evaluation committee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?</w:t>
            </w:r>
            <w:r w:rsidR="00940D59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9B7661">
              <w:rPr>
                <w:rFonts w:ascii="Century Gothic" w:hAnsi="Century Gothic"/>
                <w:sz w:val="20"/>
                <w:szCs w:val="20"/>
                <w:lang w:val="en-US"/>
              </w:rPr>
              <w:t xml:space="preserve">Is there any evidence of conflict of interest? </w:t>
            </w:r>
            <w:r w:rsidR="009B7661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 xml:space="preserve">(type of irregularity </w:t>
            </w:r>
            <w:r w:rsidR="00745944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#21)</w:t>
            </w:r>
          </w:p>
        </w:tc>
        <w:tc>
          <w:tcPr>
            <w:tcW w:w="1545" w:type="dxa"/>
            <w:vAlign w:val="center"/>
          </w:tcPr>
          <w:p w14:paraId="0653F243" w14:textId="77777777" w:rsidR="00711E18" w:rsidRPr="00C14B43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5D81A198" w14:textId="77777777" w:rsidR="00711E18" w:rsidRPr="00C14B43" w:rsidRDefault="00711E18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711E18" w14:paraId="45CB32B5" w14:textId="77777777" w:rsidTr="0008734E">
        <w:tc>
          <w:tcPr>
            <w:tcW w:w="739" w:type="dxa"/>
            <w:vMerge/>
            <w:vAlign w:val="center"/>
          </w:tcPr>
          <w:p w14:paraId="05426058" w14:textId="77777777" w:rsidR="00711E18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5E76C59E" w14:textId="1C91C3DC" w:rsidR="00711E18" w:rsidRDefault="00711E18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Does the evaluation report contain the minimum information required by point 26.2 of Annex II?</w:t>
            </w:r>
            <w:r w:rsidR="00810215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810215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#21)</w:t>
            </w:r>
          </w:p>
        </w:tc>
        <w:tc>
          <w:tcPr>
            <w:tcW w:w="1545" w:type="dxa"/>
            <w:vAlign w:val="center"/>
          </w:tcPr>
          <w:p w14:paraId="0D881A57" w14:textId="77777777" w:rsidR="00711E18" w:rsidRPr="00C14B43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39672A36" w14:textId="77777777" w:rsidR="00711E18" w:rsidRPr="00C14B43" w:rsidRDefault="00711E18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711E18" w14:paraId="48DD6169" w14:textId="77777777" w:rsidTr="0008734E">
        <w:tc>
          <w:tcPr>
            <w:tcW w:w="739" w:type="dxa"/>
            <w:vMerge/>
            <w:vAlign w:val="center"/>
          </w:tcPr>
          <w:p w14:paraId="6221C9C4" w14:textId="77777777" w:rsidR="00711E18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45465E69" w14:textId="33E87089" w:rsidR="00711E18" w:rsidRDefault="00711E18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take its award decision following the provisions in point 26.3 of Annex II?</w:t>
            </w:r>
            <w:r w:rsidR="00C56221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C56221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#16)</w:t>
            </w:r>
          </w:p>
        </w:tc>
        <w:tc>
          <w:tcPr>
            <w:tcW w:w="1545" w:type="dxa"/>
            <w:vAlign w:val="center"/>
          </w:tcPr>
          <w:p w14:paraId="37A0C5CD" w14:textId="77777777" w:rsidR="00711E18" w:rsidRPr="00C14B43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2DD11347" w14:textId="77777777" w:rsidR="00711E18" w:rsidRPr="00C14B43" w:rsidRDefault="00711E18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711E18" w14:paraId="397B9E73" w14:textId="77777777" w:rsidTr="0008734E">
        <w:tc>
          <w:tcPr>
            <w:tcW w:w="739" w:type="dxa"/>
            <w:vMerge/>
            <w:vAlign w:val="center"/>
          </w:tcPr>
          <w:p w14:paraId="2744BB10" w14:textId="77777777" w:rsidR="00711E18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12C9236A" w14:textId="0D0CABE6" w:rsidR="00711E18" w:rsidRDefault="00711E18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Was the contract awarded on the basis of the selection and award criteria</w:t>
            </w:r>
            <w:r w:rsidR="00C228E3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E42526">
              <w:rPr>
                <w:rFonts w:ascii="Century Gothic" w:hAnsi="Century Gothic"/>
                <w:sz w:val="20"/>
                <w:szCs w:val="20"/>
                <w:lang w:val="en-US"/>
              </w:rPr>
              <w:t>previously communicated to the tenderers</w:t>
            </w:r>
            <w:r>
              <w:rPr>
                <w:rFonts w:ascii="Century Gothic" w:hAnsi="Century Gothic"/>
                <w:sz w:val="20"/>
                <w:szCs w:val="20"/>
                <w:lang w:val="en-US"/>
              </w:rPr>
              <w:t>?</w:t>
            </w:r>
            <w:r>
              <w:rPr>
                <w:rStyle w:val="Odwoanieprzypisudolnego"/>
                <w:rFonts w:ascii="Century Gothic" w:hAnsi="Century Gothic"/>
                <w:sz w:val="20"/>
                <w:szCs w:val="20"/>
                <w:lang w:val="en-US"/>
              </w:rPr>
              <w:footnoteReference w:id="10"/>
            </w:r>
            <w:r w:rsidR="0069182A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69182A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</w:t>
            </w:r>
            <w:r w:rsidR="00CE1897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type of irregularity #16</w:t>
            </w:r>
            <w:r w:rsidR="0069182A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545" w:type="dxa"/>
            <w:vAlign w:val="center"/>
          </w:tcPr>
          <w:p w14:paraId="496061BD" w14:textId="77777777" w:rsidR="00711E18" w:rsidRPr="00C14B43" w:rsidRDefault="00711E18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11926D66" w14:textId="77777777" w:rsidR="00711E18" w:rsidRPr="00C14B43" w:rsidRDefault="00711E18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0B162F" w14:paraId="4D188BB9" w14:textId="77777777" w:rsidTr="0008734E">
        <w:tc>
          <w:tcPr>
            <w:tcW w:w="739" w:type="dxa"/>
            <w:vMerge w:val="restart"/>
            <w:vAlign w:val="center"/>
          </w:tcPr>
          <w:p w14:paraId="1578F760" w14:textId="65B66AD5" w:rsidR="000B162F" w:rsidRDefault="006F5C11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t>F</w:t>
            </w:r>
          </w:p>
        </w:tc>
        <w:tc>
          <w:tcPr>
            <w:tcW w:w="6355" w:type="dxa"/>
            <w:vAlign w:val="center"/>
          </w:tcPr>
          <w:p w14:paraId="5CB6C8F5" w14:textId="61080CD4" w:rsidR="000B162F" w:rsidRDefault="000B162F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cancel the procurement procedure?</w:t>
            </w:r>
          </w:p>
        </w:tc>
        <w:tc>
          <w:tcPr>
            <w:tcW w:w="1545" w:type="dxa"/>
            <w:vAlign w:val="center"/>
          </w:tcPr>
          <w:p w14:paraId="6B4849D9" w14:textId="77777777" w:rsidR="000B162F" w:rsidRPr="00C14B43" w:rsidRDefault="000B162F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4F460AC8" w14:textId="77777777" w:rsidR="000B162F" w:rsidRPr="00C14B43" w:rsidRDefault="000B162F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0B162F" w14:paraId="31F3361F" w14:textId="77777777" w:rsidTr="0008734E">
        <w:tc>
          <w:tcPr>
            <w:tcW w:w="739" w:type="dxa"/>
            <w:vMerge/>
            <w:vAlign w:val="center"/>
          </w:tcPr>
          <w:p w14:paraId="380D4158" w14:textId="77777777" w:rsidR="000B162F" w:rsidRDefault="000B162F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6F908F6D" w14:textId="08F49C2E" w:rsidR="000B162F" w:rsidRDefault="000B162F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If yes, was the decision duly justified and brought to the attention of the tenderers?</w:t>
            </w:r>
            <w:r w:rsidR="006F5C11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6F5C11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(type of irregularity #16)</w:t>
            </w:r>
          </w:p>
        </w:tc>
        <w:tc>
          <w:tcPr>
            <w:tcW w:w="1545" w:type="dxa"/>
            <w:vAlign w:val="center"/>
          </w:tcPr>
          <w:p w14:paraId="17DB4D39" w14:textId="77777777" w:rsidR="000B162F" w:rsidRPr="00C14B43" w:rsidRDefault="000B162F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532E4AAA" w14:textId="77777777" w:rsidR="000B162F" w:rsidRPr="00C14B43" w:rsidRDefault="000B162F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0B162F" w14:paraId="58EE581A" w14:textId="77777777" w:rsidTr="000B162F">
        <w:tc>
          <w:tcPr>
            <w:tcW w:w="739" w:type="dxa"/>
            <w:shd w:val="clear" w:color="auto" w:fill="D9E2F3" w:themeFill="accent1" w:themeFillTint="33"/>
            <w:vAlign w:val="center"/>
          </w:tcPr>
          <w:p w14:paraId="4F0CA57A" w14:textId="492C9E81" w:rsidR="000B162F" w:rsidRPr="000B162F" w:rsidRDefault="000B162F" w:rsidP="002A532D">
            <w:pPr>
              <w:spacing w:before="40" w:after="4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</w:pPr>
            <w:r w:rsidRPr="000B162F">
              <w:rPr>
                <w:rFonts w:ascii="Century Gothic" w:hAnsi="Century Gothic"/>
                <w:b/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13935" w:type="dxa"/>
            <w:gridSpan w:val="3"/>
            <w:shd w:val="clear" w:color="auto" w:fill="D9E2F3" w:themeFill="accent1" w:themeFillTint="33"/>
            <w:vAlign w:val="center"/>
          </w:tcPr>
          <w:p w14:paraId="4A05BB46" w14:textId="3FAA80AB" w:rsidR="000B162F" w:rsidRPr="000B162F" w:rsidRDefault="000B162F" w:rsidP="002A532D">
            <w:pPr>
              <w:spacing w:before="40" w:after="40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0B162F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Contract performance</w:t>
            </w:r>
          </w:p>
        </w:tc>
      </w:tr>
      <w:tr w:rsidR="002F5A3C" w14:paraId="792B4438" w14:textId="77777777" w:rsidTr="0008734E">
        <w:tc>
          <w:tcPr>
            <w:tcW w:w="739" w:type="dxa"/>
            <w:vMerge w:val="restart"/>
            <w:vAlign w:val="center"/>
          </w:tcPr>
          <w:p w14:paraId="41F582EA" w14:textId="407D430F" w:rsidR="002F5A3C" w:rsidRDefault="00363162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  <w:r>
              <w:rPr>
                <w:rFonts w:ascii="Century Gothic" w:hAnsi="Century Gothic"/>
                <w:sz w:val="20"/>
                <w:szCs w:val="20"/>
                <w:lang w:val="en-GB"/>
              </w:rPr>
              <w:lastRenderedPageBreak/>
              <w:t>A</w:t>
            </w:r>
          </w:p>
        </w:tc>
        <w:tc>
          <w:tcPr>
            <w:tcW w:w="6355" w:type="dxa"/>
            <w:vAlign w:val="center"/>
          </w:tcPr>
          <w:p w14:paraId="02AC1989" w14:textId="76F7B863" w:rsidR="002F5A3C" w:rsidRDefault="002F5A3C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Did the beneficiary modify the contract without a procurement procedure?</w:t>
            </w:r>
            <w:r w:rsidR="006D2730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6D2730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 xml:space="preserve">(type of irregularity </w:t>
            </w:r>
            <w:r w:rsidR="00363162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#23)</w:t>
            </w:r>
          </w:p>
        </w:tc>
        <w:tc>
          <w:tcPr>
            <w:tcW w:w="1545" w:type="dxa"/>
            <w:vAlign w:val="center"/>
          </w:tcPr>
          <w:p w14:paraId="1F5C5E09" w14:textId="77777777" w:rsidR="002F5A3C" w:rsidRPr="00C14B43" w:rsidRDefault="002F5A3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35903AC4" w14:textId="77777777" w:rsidR="002F5A3C" w:rsidRPr="00C14B43" w:rsidRDefault="002F5A3C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2F5A3C" w14:paraId="2746BBE0" w14:textId="77777777" w:rsidTr="0008734E">
        <w:tc>
          <w:tcPr>
            <w:tcW w:w="739" w:type="dxa"/>
            <w:vMerge/>
            <w:vAlign w:val="center"/>
          </w:tcPr>
          <w:p w14:paraId="4416E0D9" w14:textId="77777777" w:rsidR="002F5A3C" w:rsidRDefault="002F5A3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3CBCC723" w14:textId="4BE24FC4" w:rsidR="002F5A3C" w:rsidRDefault="002F5A3C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If yes, is the contract modified according to one of the cases indicated in point 30.3 of Annex II?</w:t>
            </w:r>
            <w:r w:rsidR="006D2730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363162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</w:t>
            </w:r>
            <w:r w:rsidR="00CE1897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type of irregularity #23</w:t>
            </w:r>
            <w:r w:rsidR="00363162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545" w:type="dxa"/>
            <w:vAlign w:val="center"/>
          </w:tcPr>
          <w:p w14:paraId="31306F8B" w14:textId="77777777" w:rsidR="002F5A3C" w:rsidRPr="00C14B43" w:rsidRDefault="002F5A3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2A33FB91" w14:textId="77777777" w:rsidR="002F5A3C" w:rsidRPr="00C14B43" w:rsidRDefault="002F5A3C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2F5A3C" w14:paraId="014D7215" w14:textId="77777777" w:rsidTr="0008734E">
        <w:tc>
          <w:tcPr>
            <w:tcW w:w="739" w:type="dxa"/>
            <w:vMerge/>
            <w:vAlign w:val="center"/>
          </w:tcPr>
          <w:p w14:paraId="436CA89D" w14:textId="77777777" w:rsidR="002F5A3C" w:rsidRDefault="002F5A3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GB"/>
              </w:rPr>
            </w:pPr>
          </w:p>
        </w:tc>
        <w:tc>
          <w:tcPr>
            <w:tcW w:w="6355" w:type="dxa"/>
            <w:vAlign w:val="center"/>
          </w:tcPr>
          <w:p w14:paraId="3A8D60C8" w14:textId="57AD55DE" w:rsidR="002F5A3C" w:rsidRDefault="002F5A3C" w:rsidP="000A3529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If yes, does the modification alter the subject matter of the contract?</w:t>
            </w:r>
            <w:r w:rsidR="00363162"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r w:rsidR="00363162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(</w:t>
            </w:r>
            <w:r w:rsidR="00CE1897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type of irregularity #23</w:t>
            </w:r>
            <w:r w:rsidR="00363162" w:rsidRPr="00CF3F05">
              <w:rPr>
                <w:rFonts w:ascii="Century Gothic" w:hAnsi="Century Gothic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545" w:type="dxa"/>
            <w:vAlign w:val="center"/>
          </w:tcPr>
          <w:p w14:paraId="5CC6B903" w14:textId="77777777" w:rsidR="002F5A3C" w:rsidRPr="00C14B43" w:rsidRDefault="002F5A3C" w:rsidP="002A532D">
            <w:pPr>
              <w:spacing w:before="40" w:after="40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6035" w:type="dxa"/>
            <w:vAlign w:val="center"/>
          </w:tcPr>
          <w:p w14:paraId="4EB4988E" w14:textId="77777777" w:rsidR="002F5A3C" w:rsidRPr="00C14B43" w:rsidRDefault="002F5A3C" w:rsidP="002A532D">
            <w:pPr>
              <w:spacing w:before="40" w:after="40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</w:tbl>
    <w:p w14:paraId="0603A005" w14:textId="77777777" w:rsidR="00A4694B" w:rsidRPr="008A7ACD" w:rsidRDefault="00A4694B">
      <w:pPr>
        <w:rPr>
          <w:rFonts w:ascii="Century Gothic" w:hAnsi="Century Gothic"/>
        </w:rPr>
      </w:pPr>
    </w:p>
    <w:sectPr w:rsidR="00A4694B" w:rsidRPr="008A7ACD" w:rsidSect="00EB739E">
      <w:footerReference w:type="default" r:id="rId7"/>
      <w:pgSz w:w="16838" w:h="11906" w:orient="landscape"/>
      <w:pgMar w:top="1440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05F4F" w14:textId="77777777" w:rsidR="00012991" w:rsidRDefault="00012991" w:rsidP="007F4B20">
      <w:pPr>
        <w:spacing w:after="0" w:line="240" w:lineRule="auto"/>
      </w:pPr>
      <w:r>
        <w:separator/>
      </w:r>
    </w:p>
  </w:endnote>
  <w:endnote w:type="continuationSeparator" w:id="0">
    <w:p w14:paraId="7DAB97DF" w14:textId="77777777" w:rsidR="00012991" w:rsidRDefault="00012991" w:rsidP="007F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 Next LT Pro">
    <w:charset w:val="EE"/>
    <w:family w:val="swiss"/>
    <w:pitch w:val="variable"/>
    <w:sig w:usb0="800000EF" w:usb1="5000204A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wis721 Lt BT">
    <w:altName w:val="Arial"/>
    <w:charset w:val="00"/>
    <w:family w:val="swiss"/>
    <w:pitch w:val="variable"/>
    <w:sig w:usb0="00000001" w:usb1="00000000" w:usb2="00000000" w:usb3="00000000" w:csb0="0000001B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736E" w14:textId="20827F80" w:rsidR="00B24834" w:rsidRDefault="00934582">
    <w:pPr>
      <w:pStyle w:val="Stopka"/>
    </w:pPr>
    <w:r>
      <w:fldChar w:fldCharType="begin"/>
    </w:r>
    <w:r>
      <w:instrText xml:space="preserve"> FILENAME \* MERGEFORMAT </w:instrText>
    </w:r>
    <w:r>
      <w:fldChar w:fldCharType="separate"/>
    </w:r>
    <w:r w:rsidR="003C1592">
      <w:rPr>
        <w:noProof/>
      </w:rPr>
      <w:t>E_checklist contracts single tender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D44D" w14:textId="77777777" w:rsidR="00012991" w:rsidRDefault="00012991" w:rsidP="007F4B20">
      <w:pPr>
        <w:spacing w:after="0" w:line="240" w:lineRule="auto"/>
      </w:pPr>
      <w:r>
        <w:separator/>
      </w:r>
    </w:p>
  </w:footnote>
  <w:footnote w:type="continuationSeparator" w:id="0">
    <w:p w14:paraId="606C8016" w14:textId="77777777" w:rsidR="00012991" w:rsidRDefault="00012991" w:rsidP="007F4B20">
      <w:pPr>
        <w:spacing w:after="0" w:line="240" w:lineRule="auto"/>
      </w:pPr>
      <w:r>
        <w:continuationSeparator/>
      </w:r>
    </w:p>
  </w:footnote>
  <w:footnote w:id="1">
    <w:p w14:paraId="4E3633EF" w14:textId="49621E4D" w:rsidR="001144D9" w:rsidRPr="00BA086B" w:rsidRDefault="001144D9" w:rsidP="00CD534A">
      <w:pPr>
        <w:pStyle w:val="Tekstprzypisudolnego"/>
        <w:ind w:left="142" w:hanging="142"/>
        <w:rPr>
          <w:rFonts w:ascii="Century Gothic" w:hAnsi="Century Gothic"/>
          <w:b/>
          <w:bCs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="002B3A6D" w:rsidRPr="002B3A6D">
        <w:rPr>
          <w:rFonts w:ascii="Century Gothic" w:hAnsi="Century Gothic"/>
          <w:lang w:val="en-GB"/>
        </w:rPr>
        <w:t xml:space="preserve">According </w:t>
      </w:r>
      <w:r w:rsidR="002B3A6D">
        <w:rPr>
          <w:rFonts w:ascii="Century Gothic" w:hAnsi="Century Gothic"/>
          <w:lang w:val="en-GB"/>
        </w:rPr>
        <w:t xml:space="preserve">to point </w:t>
      </w:r>
      <w:r w:rsidR="00DA4A26">
        <w:rPr>
          <w:rFonts w:ascii="Century Gothic" w:hAnsi="Century Gothic"/>
          <w:lang w:val="en-GB"/>
        </w:rPr>
        <w:t xml:space="preserve">5.2(e), </w:t>
      </w:r>
      <w:r w:rsidR="00F26326">
        <w:rPr>
          <w:rFonts w:ascii="Century Gothic" w:hAnsi="Century Gothic"/>
          <w:lang w:val="en-GB"/>
        </w:rPr>
        <w:t>payments of amounts less than or equal to EUR 2</w:t>
      </w:r>
      <w:r w:rsidR="00CF7436">
        <w:rPr>
          <w:rFonts w:ascii="Century Gothic" w:hAnsi="Century Gothic"/>
          <w:lang w:val="en-GB"/>
        </w:rPr>
        <w:t>.</w:t>
      </w:r>
      <w:r w:rsidR="00F26326">
        <w:rPr>
          <w:rFonts w:ascii="Century Gothic" w:hAnsi="Century Gothic"/>
          <w:lang w:val="en-GB"/>
        </w:rPr>
        <w:t>500 […] may be carried out simply as payment against invoices, w</w:t>
      </w:r>
      <w:r w:rsidR="00CD534A">
        <w:rPr>
          <w:rFonts w:ascii="Century Gothic" w:hAnsi="Century Gothic"/>
          <w:lang w:val="en-GB"/>
        </w:rPr>
        <w:t>ithout prior acceptance of a tender</w:t>
      </w:r>
      <w:r w:rsidR="00CD534A" w:rsidRPr="00E20B61">
        <w:rPr>
          <w:rFonts w:ascii="Century Gothic" w:hAnsi="Century Gothic"/>
          <w:lang w:val="en-GB"/>
        </w:rPr>
        <w:t xml:space="preserve">. </w:t>
      </w:r>
      <w:r w:rsidR="00CD534A" w:rsidRPr="007C4813">
        <w:rPr>
          <w:rFonts w:ascii="Century Gothic" w:hAnsi="Century Gothic"/>
          <w:b/>
          <w:bCs/>
          <w:lang w:val="en-GB"/>
        </w:rPr>
        <w:t>This checklist is not applicable in such cases</w:t>
      </w:r>
      <w:r w:rsidR="00CD534A" w:rsidRPr="00E20B61">
        <w:rPr>
          <w:rFonts w:ascii="Century Gothic" w:hAnsi="Century Gothic"/>
          <w:lang w:val="en-GB"/>
        </w:rPr>
        <w:t>.</w:t>
      </w:r>
    </w:p>
  </w:footnote>
  <w:footnote w:id="2">
    <w:p w14:paraId="1B028908" w14:textId="2B0F1A72" w:rsidR="003F656E" w:rsidRPr="00730262" w:rsidRDefault="003F656E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730262">
        <w:rPr>
          <w:rFonts w:ascii="Century Gothic" w:hAnsi="Century Gothic"/>
          <w:lang w:val="en-GB"/>
        </w:rPr>
        <w:t xml:space="preserve">According to point </w:t>
      </w:r>
      <w:r w:rsidR="00730262" w:rsidRPr="00730262">
        <w:rPr>
          <w:rFonts w:ascii="Century Gothic" w:hAnsi="Century Gothic"/>
          <w:lang w:val="en-GB"/>
        </w:rPr>
        <w:t>13 of Annex II</w:t>
      </w:r>
    </w:p>
  </w:footnote>
  <w:footnote w:id="3">
    <w:p w14:paraId="10D0FEFD" w14:textId="63DAA54C" w:rsidR="007835B7" w:rsidRPr="007835B7" w:rsidRDefault="007835B7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7835B7">
        <w:rPr>
          <w:rFonts w:ascii="Century Gothic" w:hAnsi="Century Gothic"/>
          <w:lang w:val="en-GB"/>
        </w:rPr>
        <w:t>According to point 10 o 11 of Annex II</w:t>
      </w:r>
    </w:p>
  </w:footnote>
  <w:footnote w:id="4">
    <w:p w14:paraId="4642B281" w14:textId="174A8623" w:rsidR="007F4B20" w:rsidRPr="00EB739E" w:rsidRDefault="007F4B20" w:rsidP="00D2208D">
      <w:pPr>
        <w:pStyle w:val="Tekstprzypisudolnego"/>
        <w:spacing w:after="60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="00EB739E" w:rsidRPr="00EB739E">
        <w:rPr>
          <w:rFonts w:ascii="Century Gothic" w:hAnsi="Century Gothic"/>
          <w:lang w:val="en-GB"/>
        </w:rPr>
        <w:t xml:space="preserve">Use the Exchange rate in </w:t>
      </w:r>
      <w:hyperlink r:id="rId1" w:history="1">
        <w:proofErr w:type="spellStart"/>
        <w:r w:rsidR="00EB739E" w:rsidRPr="00EB739E">
          <w:rPr>
            <w:rStyle w:val="Hipercze"/>
            <w:rFonts w:ascii="Century Gothic" w:hAnsi="Century Gothic"/>
            <w:lang w:val="en-GB"/>
          </w:rPr>
          <w:t>Inforeuro</w:t>
        </w:r>
        <w:proofErr w:type="spellEnd"/>
      </w:hyperlink>
      <w:r w:rsidR="00EB739E" w:rsidRPr="00EB739E">
        <w:rPr>
          <w:rFonts w:ascii="Century Gothic" w:hAnsi="Century Gothic"/>
          <w:lang w:val="en-GB"/>
        </w:rPr>
        <w:t xml:space="preserve"> of the month of the launch of the procedure</w:t>
      </w:r>
    </w:p>
  </w:footnote>
  <w:footnote w:id="5">
    <w:p w14:paraId="20380D1D" w14:textId="1982F0DF" w:rsidR="00B84129" w:rsidRDefault="00B841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0262">
        <w:rPr>
          <w:rFonts w:ascii="Century Gothic" w:hAnsi="Century Gothic"/>
          <w:lang w:val="en-GB"/>
        </w:rPr>
        <w:t xml:space="preserve">According to point </w:t>
      </w:r>
      <w:r w:rsidR="00C749A4">
        <w:rPr>
          <w:rFonts w:ascii="Century Gothic" w:hAnsi="Century Gothic"/>
          <w:lang w:val="en-GB"/>
        </w:rPr>
        <w:t>5.2</w:t>
      </w:r>
      <w:r w:rsidRPr="00730262">
        <w:rPr>
          <w:rFonts w:ascii="Century Gothic" w:hAnsi="Century Gothic"/>
          <w:lang w:val="en-GB"/>
        </w:rPr>
        <w:t xml:space="preserve"> of Annex II</w:t>
      </w:r>
    </w:p>
  </w:footnote>
  <w:footnote w:id="6">
    <w:p w14:paraId="7A819046" w14:textId="6EA583B6" w:rsidR="00F47025" w:rsidRDefault="00F47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7025">
        <w:rPr>
          <w:rFonts w:ascii="Century Gothic" w:hAnsi="Century Gothic"/>
          <w:lang w:val="en-GB"/>
        </w:rPr>
        <w:t>According to point 18.4 of Annex II</w:t>
      </w:r>
    </w:p>
  </w:footnote>
  <w:footnote w:id="7">
    <w:p w14:paraId="1A6A19CC" w14:textId="75AEEBCD" w:rsidR="00C14B43" w:rsidRPr="003B660B" w:rsidRDefault="00C14B43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3B660B">
        <w:rPr>
          <w:rFonts w:ascii="Century Gothic" w:hAnsi="Century Gothic"/>
          <w:lang w:val="en-GB"/>
        </w:rPr>
        <w:t>The weightings may be expressed as a range with an appropriate maximum spread</w:t>
      </w:r>
    </w:p>
  </w:footnote>
  <w:footnote w:id="8">
    <w:p w14:paraId="26D6E91F" w14:textId="2135CBBA" w:rsidR="00CB1D9B" w:rsidRPr="00CB1D9B" w:rsidRDefault="00CB1D9B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CB1D9B">
        <w:rPr>
          <w:rFonts w:ascii="Century Gothic" w:hAnsi="Century Gothic"/>
          <w:lang w:val="en-GB"/>
        </w:rPr>
        <w:t>Point 24.9 of Annex II.</w:t>
      </w:r>
    </w:p>
  </w:footnote>
  <w:footnote w:id="9">
    <w:p w14:paraId="709D0393" w14:textId="08306DB9" w:rsidR="008911F5" w:rsidRPr="00BC4DEA" w:rsidRDefault="008911F5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BC4DEA">
        <w:rPr>
          <w:rFonts w:ascii="Century Gothic" w:hAnsi="Century Gothic"/>
          <w:lang w:val="en-GB"/>
        </w:rPr>
        <w:t>See point 25.1 of Annex II.</w:t>
      </w:r>
    </w:p>
  </w:footnote>
  <w:footnote w:id="10">
    <w:p w14:paraId="387565AE" w14:textId="610586B2" w:rsidR="00711E18" w:rsidRPr="006F3C97" w:rsidRDefault="00711E18">
      <w:pPr>
        <w:pStyle w:val="Tekstprzypisudolnego"/>
        <w:rPr>
          <w:rFonts w:ascii="Century Gothic" w:hAnsi="Century Gothic"/>
          <w:lang w:val="en-GB"/>
        </w:rPr>
      </w:pPr>
      <w:r>
        <w:rPr>
          <w:rStyle w:val="Odwoanieprzypisudolnego"/>
        </w:rPr>
        <w:footnoteRef/>
      </w:r>
      <w:r>
        <w:t xml:space="preserve"> </w:t>
      </w:r>
      <w:r w:rsidRPr="006F3C97">
        <w:rPr>
          <w:rFonts w:ascii="Century Gothic" w:hAnsi="Century Gothic"/>
          <w:lang w:val="en-GB"/>
        </w:rPr>
        <w:t>See point 17</w:t>
      </w:r>
      <w:r>
        <w:rPr>
          <w:rFonts w:ascii="Century Gothic" w:hAnsi="Century Gothic"/>
          <w:lang w:val="en-GB"/>
        </w:rPr>
        <w:t>.1</w:t>
      </w:r>
      <w:r w:rsidRPr="006F3C97">
        <w:rPr>
          <w:rFonts w:ascii="Century Gothic" w:hAnsi="Century Gothic"/>
          <w:lang w:val="en-GB"/>
        </w:rPr>
        <w:t xml:space="preserve"> of Annex II.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E3"/>
    <w:rsid w:val="00004D5A"/>
    <w:rsid w:val="00012991"/>
    <w:rsid w:val="000229A0"/>
    <w:rsid w:val="0003690A"/>
    <w:rsid w:val="0004057D"/>
    <w:rsid w:val="000460C6"/>
    <w:rsid w:val="0005474A"/>
    <w:rsid w:val="00057323"/>
    <w:rsid w:val="0006228C"/>
    <w:rsid w:val="00062768"/>
    <w:rsid w:val="00063855"/>
    <w:rsid w:val="00066D61"/>
    <w:rsid w:val="00073040"/>
    <w:rsid w:val="00076CA1"/>
    <w:rsid w:val="00086D3A"/>
    <w:rsid w:val="0008734E"/>
    <w:rsid w:val="000909F1"/>
    <w:rsid w:val="000943DE"/>
    <w:rsid w:val="000954E8"/>
    <w:rsid w:val="000A1B13"/>
    <w:rsid w:val="000A3529"/>
    <w:rsid w:val="000A6BF4"/>
    <w:rsid w:val="000B162F"/>
    <w:rsid w:val="000B3A3B"/>
    <w:rsid w:val="000B47D4"/>
    <w:rsid w:val="000B4888"/>
    <w:rsid w:val="000B638C"/>
    <w:rsid w:val="000C46A5"/>
    <w:rsid w:val="000D1099"/>
    <w:rsid w:val="000D6D16"/>
    <w:rsid w:val="000E5836"/>
    <w:rsid w:val="00102924"/>
    <w:rsid w:val="001144D9"/>
    <w:rsid w:val="001149B9"/>
    <w:rsid w:val="00115110"/>
    <w:rsid w:val="0011549A"/>
    <w:rsid w:val="00122459"/>
    <w:rsid w:val="00123BC5"/>
    <w:rsid w:val="00126635"/>
    <w:rsid w:val="00132507"/>
    <w:rsid w:val="00137C65"/>
    <w:rsid w:val="0014236E"/>
    <w:rsid w:val="00153F74"/>
    <w:rsid w:val="001668B5"/>
    <w:rsid w:val="001672DF"/>
    <w:rsid w:val="001703CE"/>
    <w:rsid w:val="00172FEE"/>
    <w:rsid w:val="00182978"/>
    <w:rsid w:val="00183039"/>
    <w:rsid w:val="001854FF"/>
    <w:rsid w:val="001A7EF0"/>
    <w:rsid w:val="001B0B0F"/>
    <w:rsid w:val="001B250C"/>
    <w:rsid w:val="001B5D71"/>
    <w:rsid w:val="001C74C5"/>
    <w:rsid w:val="001D333B"/>
    <w:rsid w:val="001E1679"/>
    <w:rsid w:val="001F12FF"/>
    <w:rsid w:val="002039F6"/>
    <w:rsid w:val="002063D9"/>
    <w:rsid w:val="002154DE"/>
    <w:rsid w:val="0021759D"/>
    <w:rsid w:val="00221DD4"/>
    <w:rsid w:val="002313C2"/>
    <w:rsid w:val="00240D42"/>
    <w:rsid w:val="00241788"/>
    <w:rsid w:val="00252C86"/>
    <w:rsid w:val="00254E79"/>
    <w:rsid w:val="00257583"/>
    <w:rsid w:val="00257896"/>
    <w:rsid w:val="00257E7A"/>
    <w:rsid w:val="0026306D"/>
    <w:rsid w:val="00274054"/>
    <w:rsid w:val="00275FB9"/>
    <w:rsid w:val="0028077D"/>
    <w:rsid w:val="00282D6F"/>
    <w:rsid w:val="002856C0"/>
    <w:rsid w:val="00291FBD"/>
    <w:rsid w:val="00295C6E"/>
    <w:rsid w:val="00297451"/>
    <w:rsid w:val="002A532D"/>
    <w:rsid w:val="002B3175"/>
    <w:rsid w:val="002B3A6D"/>
    <w:rsid w:val="002B4E05"/>
    <w:rsid w:val="002C44E7"/>
    <w:rsid w:val="002E1F6A"/>
    <w:rsid w:val="002F1017"/>
    <w:rsid w:val="002F5A3C"/>
    <w:rsid w:val="00305F95"/>
    <w:rsid w:val="003107EB"/>
    <w:rsid w:val="00310AD2"/>
    <w:rsid w:val="00311507"/>
    <w:rsid w:val="00316FA9"/>
    <w:rsid w:val="00321176"/>
    <w:rsid w:val="00356CDB"/>
    <w:rsid w:val="003573EB"/>
    <w:rsid w:val="00357B7E"/>
    <w:rsid w:val="00363162"/>
    <w:rsid w:val="00363364"/>
    <w:rsid w:val="00371A38"/>
    <w:rsid w:val="0038005A"/>
    <w:rsid w:val="00383E92"/>
    <w:rsid w:val="003941E4"/>
    <w:rsid w:val="00395A50"/>
    <w:rsid w:val="003972BB"/>
    <w:rsid w:val="003A5D7F"/>
    <w:rsid w:val="003A5F20"/>
    <w:rsid w:val="003B0954"/>
    <w:rsid w:val="003B660B"/>
    <w:rsid w:val="003B6A72"/>
    <w:rsid w:val="003C0256"/>
    <w:rsid w:val="003C1592"/>
    <w:rsid w:val="003C1FC4"/>
    <w:rsid w:val="003C618A"/>
    <w:rsid w:val="003D3856"/>
    <w:rsid w:val="003E1372"/>
    <w:rsid w:val="003E3129"/>
    <w:rsid w:val="003E3480"/>
    <w:rsid w:val="003E6876"/>
    <w:rsid w:val="003F656E"/>
    <w:rsid w:val="003F6CCA"/>
    <w:rsid w:val="003F763F"/>
    <w:rsid w:val="0041031B"/>
    <w:rsid w:val="00412629"/>
    <w:rsid w:val="0042104B"/>
    <w:rsid w:val="00423890"/>
    <w:rsid w:val="00430E33"/>
    <w:rsid w:val="00431C58"/>
    <w:rsid w:val="0044104E"/>
    <w:rsid w:val="00447E61"/>
    <w:rsid w:val="0046038B"/>
    <w:rsid w:val="004650B8"/>
    <w:rsid w:val="004668F8"/>
    <w:rsid w:val="004721EE"/>
    <w:rsid w:val="004751EE"/>
    <w:rsid w:val="00482405"/>
    <w:rsid w:val="0049784F"/>
    <w:rsid w:val="004A5E63"/>
    <w:rsid w:val="004B0D09"/>
    <w:rsid w:val="004B0F0E"/>
    <w:rsid w:val="004E6142"/>
    <w:rsid w:val="004F27B3"/>
    <w:rsid w:val="004F35E3"/>
    <w:rsid w:val="0051283D"/>
    <w:rsid w:val="005169DF"/>
    <w:rsid w:val="00524BE3"/>
    <w:rsid w:val="00524E02"/>
    <w:rsid w:val="0052687E"/>
    <w:rsid w:val="005274BE"/>
    <w:rsid w:val="0053544C"/>
    <w:rsid w:val="005415B2"/>
    <w:rsid w:val="00541997"/>
    <w:rsid w:val="0054498B"/>
    <w:rsid w:val="00546F9E"/>
    <w:rsid w:val="00553BF4"/>
    <w:rsid w:val="00557E28"/>
    <w:rsid w:val="00557F49"/>
    <w:rsid w:val="00560576"/>
    <w:rsid w:val="005620ED"/>
    <w:rsid w:val="00562C8B"/>
    <w:rsid w:val="005656A4"/>
    <w:rsid w:val="0057024A"/>
    <w:rsid w:val="00570A9D"/>
    <w:rsid w:val="00573DC9"/>
    <w:rsid w:val="00581A97"/>
    <w:rsid w:val="005852E1"/>
    <w:rsid w:val="005945AB"/>
    <w:rsid w:val="005C04B5"/>
    <w:rsid w:val="005C2016"/>
    <w:rsid w:val="005C3B24"/>
    <w:rsid w:val="005C649D"/>
    <w:rsid w:val="005E1084"/>
    <w:rsid w:val="005E1CE6"/>
    <w:rsid w:val="005E519E"/>
    <w:rsid w:val="005E65C1"/>
    <w:rsid w:val="0060160A"/>
    <w:rsid w:val="006139EC"/>
    <w:rsid w:val="00614604"/>
    <w:rsid w:val="00633A6C"/>
    <w:rsid w:val="00642D1B"/>
    <w:rsid w:val="00646123"/>
    <w:rsid w:val="00647EA0"/>
    <w:rsid w:val="0065358F"/>
    <w:rsid w:val="00655E6F"/>
    <w:rsid w:val="00665701"/>
    <w:rsid w:val="00666E62"/>
    <w:rsid w:val="006671A3"/>
    <w:rsid w:val="0066749A"/>
    <w:rsid w:val="0066752C"/>
    <w:rsid w:val="006712EB"/>
    <w:rsid w:val="006715E3"/>
    <w:rsid w:val="0067317C"/>
    <w:rsid w:val="0067793D"/>
    <w:rsid w:val="00681BBB"/>
    <w:rsid w:val="00686AD9"/>
    <w:rsid w:val="00687D7F"/>
    <w:rsid w:val="0069182A"/>
    <w:rsid w:val="006A0E70"/>
    <w:rsid w:val="006A1878"/>
    <w:rsid w:val="006A759E"/>
    <w:rsid w:val="006B54B4"/>
    <w:rsid w:val="006B5AF2"/>
    <w:rsid w:val="006C1502"/>
    <w:rsid w:val="006C3275"/>
    <w:rsid w:val="006D2730"/>
    <w:rsid w:val="006D78CD"/>
    <w:rsid w:val="006E2547"/>
    <w:rsid w:val="006E4B84"/>
    <w:rsid w:val="006E564A"/>
    <w:rsid w:val="006F1B9A"/>
    <w:rsid w:val="006F20EA"/>
    <w:rsid w:val="006F3C97"/>
    <w:rsid w:val="006F5C11"/>
    <w:rsid w:val="0070123F"/>
    <w:rsid w:val="007048B0"/>
    <w:rsid w:val="00711E18"/>
    <w:rsid w:val="00723D87"/>
    <w:rsid w:val="00730262"/>
    <w:rsid w:val="00731C93"/>
    <w:rsid w:val="007357DC"/>
    <w:rsid w:val="00736747"/>
    <w:rsid w:val="00745944"/>
    <w:rsid w:val="0074616B"/>
    <w:rsid w:val="0074698F"/>
    <w:rsid w:val="007670FE"/>
    <w:rsid w:val="007835B7"/>
    <w:rsid w:val="00792233"/>
    <w:rsid w:val="007945A6"/>
    <w:rsid w:val="007948F3"/>
    <w:rsid w:val="007A295E"/>
    <w:rsid w:val="007A5E7D"/>
    <w:rsid w:val="007B0C80"/>
    <w:rsid w:val="007B43D0"/>
    <w:rsid w:val="007C0C99"/>
    <w:rsid w:val="007C4813"/>
    <w:rsid w:val="007D5AC1"/>
    <w:rsid w:val="007E50DD"/>
    <w:rsid w:val="007E6133"/>
    <w:rsid w:val="007F0D55"/>
    <w:rsid w:val="007F48EC"/>
    <w:rsid w:val="007F4B20"/>
    <w:rsid w:val="007F790F"/>
    <w:rsid w:val="00810215"/>
    <w:rsid w:val="00814ACB"/>
    <w:rsid w:val="0082283A"/>
    <w:rsid w:val="0082298E"/>
    <w:rsid w:val="00830A3D"/>
    <w:rsid w:val="0083129E"/>
    <w:rsid w:val="00833F3F"/>
    <w:rsid w:val="00836DE8"/>
    <w:rsid w:val="00840000"/>
    <w:rsid w:val="00841219"/>
    <w:rsid w:val="00845DBC"/>
    <w:rsid w:val="00847EA4"/>
    <w:rsid w:val="00851EF6"/>
    <w:rsid w:val="00852A0D"/>
    <w:rsid w:val="0085572A"/>
    <w:rsid w:val="0086114E"/>
    <w:rsid w:val="008638DC"/>
    <w:rsid w:val="008723CE"/>
    <w:rsid w:val="00880915"/>
    <w:rsid w:val="00883F6C"/>
    <w:rsid w:val="00884506"/>
    <w:rsid w:val="008911F5"/>
    <w:rsid w:val="0089490E"/>
    <w:rsid w:val="008A0246"/>
    <w:rsid w:val="008A27A6"/>
    <w:rsid w:val="008A7ACD"/>
    <w:rsid w:val="008C55FF"/>
    <w:rsid w:val="008C5AE2"/>
    <w:rsid w:val="008C794F"/>
    <w:rsid w:val="008D24CC"/>
    <w:rsid w:val="008D362D"/>
    <w:rsid w:val="008D5645"/>
    <w:rsid w:val="008D77F1"/>
    <w:rsid w:val="008F0CA5"/>
    <w:rsid w:val="008F4A18"/>
    <w:rsid w:val="00913097"/>
    <w:rsid w:val="00915AAE"/>
    <w:rsid w:val="009305F2"/>
    <w:rsid w:val="00931F2A"/>
    <w:rsid w:val="00934582"/>
    <w:rsid w:val="00940D59"/>
    <w:rsid w:val="0094182B"/>
    <w:rsid w:val="009422B0"/>
    <w:rsid w:val="0094672D"/>
    <w:rsid w:val="009565C3"/>
    <w:rsid w:val="00956D02"/>
    <w:rsid w:val="00965951"/>
    <w:rsid w:val="00966608"/>
    <w:rsid w:val="00966E06"/>
    <w:rsid w:val="009967B3"/>
    <w:rsid w:val="009A106F"/>
    <w:rsid w:val="009B09BD"/>
    <w:rsid w:val="009B2E26"/>
    <w:rsid w:val="009B4FE7"/>
    <w:rsid w:val="009B5758"/>
    <w:rsid w:val="009B7661"/>
    <w:rsid w:val="009C28C9"/>
    <w:rsid w:val="009C359F"/>
    <w:rsid w:val="009D050C"/>
    <w:rsid w:val="009D0C37"/>
    <w:rsid w:val="009D2089"/>
    <w:rsid w:val="009E0FE3"/>
    <w:rsid w:val="00A136B6"/>
    <w:rsid w:val="00A13BC4"/>
    <w:rsid w:val="00A22102"/>
    <w:rsid w:val="00A23907"/>
    <w:rsid w:val="00A32B86"/>
    <w:rsid w:val="00A32D2B"/>
    <w:rsid w:val="00A40092"/>
    <w:rsid w:val="00A43514"/>
    <w:rsid w:val="00A43AE5"/>
    <w:rsid w:val="00A45868"/>
    <w:rsid w:val="00A463EE"/>
    <w:rsid w:val="00A4694B"/>
    <w:rsid w:val="00A508D4"/>
    <w:rsid w:val="00A55001"/>
    <w:rsid w:val="00A56245"/>
    <w:rsid w:val="00A60022"/>
    <w:rsid w:val="00A65E4D"/>
    <w:rsid w:val="00A72AAC"/>
    <w:rsid w:val="00A735C2"/>
    <w:rsid w:val="00A73A23"/>
    <w:rsid w:val="00A74CDF"/>
    <w:rsid w:val="00A827F4"/>
    <w:rsid w:val="00A87251"/>
    <w:rsid w:val="00A8776F"/>
    <w:rsid w:val="00A920AE"/>
    <w:rsid w:val="00A94FE1"/>
    <w:rsid w:val="00A97534"/>
    <w:rsid w:val="00AA4134"/>
    <w:rsid w:val="00AB443A"/>
    <w:rsid w:val="00AB45A6"/>
    <w:rsid w:val="00AB5310"/>
    <w:rsid w:val="00AB5507"/>
    <w:rsid w:val="00AB58A6"/>
    <w:rsid w:val="00AB75A4"/>
    <w:rsid w:val="00AC52F9"/>
    <w:rsid w:val="00AC6024"/>
    <w:rsid w:val="00AC66D8"/>
    <w:rsid w:val="00AD58B7"/>
    <w:rsid w:val="00AE1745"/>
    <w:rsid w:val="00AE51F9"/>
    <w:rsid w:val="00B001EF"/>
    <w:rsid w:val="00B02447"/>
    <w:rsid w:val="00B02FC3"/>
    <w:rsid w:val="00B11153"/>
    <w:rsid w:val="00B17967"/>
    <w:rsid w:val="00B21DB7"/>
    <w:rsid w:val="00B22E89"/>
    <w:rsid w:val="00B24834"/>
    <w:rsid w:val="00B30598"/>
    <w:rsid w:val="00B34D2A"/>
    <w:rsid w:val="00B34F6F"/>
    <w:rsid w:val="00B60873"/>
    <w:rsid w:val="00B64688"/>
    <w:rsid w:val="00B64EC3"/>
    <w:rsid w:val="00B67950"/>
    <w:rsid w:val="00B679ED"/>
    <w:rsid w:val="00B77131"/>
    <w:rsid w:val="00B84129"/>
    <w:rsid w:val="00BA086B"/>
    <w:rsid w:val="00BA56F1"/>
    <w:rsid w:val="00BB08BF"/>
    <w:rsid w:val="00BB21BA"/>
    <w:rsid w:val="00BB4806"/>
    <w:rsid w:val="00BC272A"/>
    <w:rsid w:val="00BC4DEA"/>
    <w:rsid w:val="00BC748E"/>
    <w:rsid w:val="00BD6C3B"/>
    <w:rsid w:val="00BE0ADB"/>
    <w:rsid w:val="00BE3FAC"/>
    <w:rsid w:val="00BE66B4"/>
    <w:rsid w:val="00BE6AC8"/>
    <w:rsid w:val="00BE7937"/>
    <w:rsid w:val="00BF6229"/>
    <w:rsid w:val="00BF7624"/>
    <w:rsid w:val="00C00469"/>
    <w:rsid w:val="00C05521"/>
    <w:rsid w:val="00C05BA4"/>
    <w:rsid w:val="00C077BA"/>
    <w:rsid w:val="00C14B43"/>
    <w:rsid w:val="00C1606C"/>
    <w:rsid w:val="00C1662D"/>
    <w:rsid w:val="00C228E3"/>
    <w:rsid w:val="00C3123D"/>
    <w:rsid w:val="00C337F0"/>
    <w:rsid w:val="00C348A3"/>
    <w:rsid w:val="00C35214"/>
    <w:rsid w:val="00C52A29"/>
    <w:rsid w:val="00C56221"/>
    <w:rsid w:val="00C57727"/>
    <w:rsid w:val="00C6760B"/>
    <w:rsid w:val="00C67DD6"/>
    <w:rsid w:val="00C749A4"/>
    <w:rsid w:val="00C76A33"/>
    <w:rsid w:val="00C87F7E"/>
    <w:rsid w:val="00C90C6B"/>
    <w:rsid w:val="00C96225"/>
    <w:rsid w:val="00C9651F"/>
    <w:rsid w:val="00C96778"/>
    <w:rsid w:val="00C9765E"/>
    <w:rsid w:val="00CA5A8F"/>
    <w:rsid w:val="00CB0CCE"/>
    <w:rsid w:val="00CB1D9B"/>
    <w:rsid w:val="00CD534A"/>
    <w:rsid w:val="00CE1897"/>
    <w:rsid w:val="00CE5441"/>
    <w:rsid w:val="00CF2840"/>
    <w:rsid w:val="00CF3F05"/>
    <w:rsid w:val="00CF7436"/>
    <w:rsid w:val="00D10CAF"/>
    <w:rsid w:val="00D205D1"/>
    <w:rsid w:val="00D2070D"/>
    <w:rsid w:val="00D2208D"/>
    <w:rsid w:val="00D40DB7"/>
    <w:rsid w:val="00D426E2"/>
    <w:rsid w:val="00D444CB"/>
    <w:rsid w:val="00D55BC4"/>
    <w:rsid w:val="00D85EF8"/>
    <w:rsid w:val="00D93A91"/>
    <w:rsid w:val="00D974DF"/>
    <w:rsid w:val="00D97C51"/>
    <w:rsid w:val="00DA29DA"/>
    <w:rsid w:val="00DA4A26"/>
    <w:rsid w:val="00DA6CF3"/>
    <w:rsid w:val="00DA787F"/>
    <w:rsid w:val="00DB03A7"/>
    <w:rsid w:val="00DB173A"/>
    <w:rsid w:val="00DB462A"/>
    <w:rsid w:val="00DB789B"/>
    <w:rsid w:val="00DC397C"/>
    <w:rsid w:val="00DC5048"/>
    <w:rsid w:val="00DF203A"/>
    <w:rsid w:val="00E04E60"/>
    <w:rsid w:val="00E04ECC"/>
    <w:rsid w:val="00E20B61"/>
    <w:rsid w:val="00E318DB"/>
    <w:rsid w:val="00E35AB6"/>
    <w:rsid w:val="00E42526"/>
    <w:rsid w:val="00E4653E"/>
    <w:rsid w:val="00E46C22"/>
    <w:rsid w:val="00E503C3"/>
    <w:rsid w:val="00E543A0"/>
    <w:rsid w:val="00E74B8E"/>
    <w:rsid w:val="00E77FD0"/>
    <w:rsid w:val="00E85C1C"/>
    <w:rsid w:val="00E91278"/>
    <w:rsid w:val="00E9252C"/>
    <w:rsid w:val="00E95B97"/>
    <w:rsid w:val="00EB1219"/>
    <w:rsid w:val="00EB214A"/>
    <w:rsid w:val="00EB739E"/>
    <w:rsid w:val="00EC5C8D"/>
    <w:rsid w:val="00EE0F36"/>
    <w:rsid w:val="00EE52DB"/>
    <w:rsid w:val="00EF0983"/>
    <w:rsid w:val="00F0232F"/>
    <w:rsid w:val="00F02703"/>
    <w:rsid w:val="00F07009"/>
    <w:rsid w:val="00F115EE"/>
    <w:rsid w:val="00F26326"/>
    <w:rsid w:val="00F26B4C"/>
    <w:rsid w:val="00F47025"/>
    <w:rsid w:val="00F5255B"/>
    <w:rsid w:val="00F62C9D"/>
    <w:rsid w:val="00F71CE8"/>
    <w:rsid w:val="00F7267F"/>
    <w:rsid w:val="00F77806"/>
    <w:rsid w:val="00F90215"/>
    <w:rsid w:val="00F957B6"/>
    <w:rsid w:val="00FB3F98"/>
    <w:rsid w:val="00FD0085"/>
    <w:rsid w:val="00FE074A"/>
    <w:rsid w:val="00FE1075"/>
    <w:rsid w:val="00FE1D64"/>
    <w:rsid w:val="00FF298E"/>
    <w:rsid w:val="00F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D734"/>
  <w15:chartTrackingRefBased/>
  <w15:docId w15:val="{22F5F6E8-B886-4887-BD15-0A6775F4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1219"/>
    <w:pPr>
      <w:keepNext/>
      <w:keepLines/>
      <w:spacing w:before="240" w:after="240"/>
      <w:outlineLvl w:val="0"/>
    </w:pPr>
    <w:rPr>
      <w:rFonts w:ascii="Avenir Next LT Pro" w:eastAsiaTheme="majorEastAsia" w:hAnsi="Avenir Next LT Pro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1219"/>
    <w:pPr>
      <w:keepNext/>
      <w:keepLines/>
      <w:spacing w:before="200" w:after="200"/>
      <w:outlineLvl w:val="1"/>
    </w:pPr>
    <w:rPr>
      <w:rFonts w:ascii="Avenir Next LT Pro" w:eastAsiaTheme="majorEastAsia" w:hAnsi="Avenir Next LT Pro" w:cstheme="majorBidi"/>
      <w:b/>
      <w:color w:val="2F5496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4B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4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4B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4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4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4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4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1219"/>
    <w:rPr>
      <w:rFonts w:ascii="Avenir Next LT Pro" w:eastAsiaTheme="majorEastAsia" w:hAnsi="Avenir Next LT Pro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1219"/>
    <w:rPr>
      <w:rFonts w:ascii="Avenir Next LT Pro" w:eastAsiaTheme="majorEastAsia" w:hAnsi="Avenir Next LT Pro" w:cstheme="majorBidi"/>
      <w:b/>
      <w:color w:val="2F5496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4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4B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4B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4B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4B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4B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4B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4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4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4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4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4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4B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4B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4B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4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4B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4BE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7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49784F"/>
    <w:pPr>
      <w:suppressAutoHyphens/>
      <w:spacing w:before="200" w:after="0" w:line="312" w:lineRule="auto"/>
      <w:ind w:left="720"/>
      <w:jc w:val="both"/>
    </w:pPr>
    <w:rPr>
      <w:rFonts w:ascii="Swis721 Lt BT" w:eastAsia="Times New Roman" w:hAnsi="Swis721 Lt BT" w:cs="Times New Roman"/>
      <w:kern w:val="0"/>
      <w:sz w:val="20"/>
      <w:szCs w:val="20"/>
      <w:lang w:val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B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B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4B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B73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739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248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834"/>
  </w:style>
  <w:style w:type="paragraph" w:styleId="Stopka">
    <w:name w:val="footer"/>
    <w:basedOn w:val="Normalny"/>
    <w:link w:val="StopkaZnak"/>
    <w:uiPriority w:val="99"/>
    <w:unhideWhenUsed/>
    <w:rsid w:val="00B248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834"/>
  </w:style>
  <w:style w:type="paragraph" w:styleId="Poprawka">
    <w:name w:val="Revision"/>
    <w:hidden/>
    <w:uiPriority w:val="99"/>
    <w:semiHidden/>
    <w:rsid w:val="00E20B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D6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C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C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ommission.europa.eu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C7733-8C19-49D2-B1B3-83318C94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1047</Words>
  <Characters>6287</Characters>
  <Application>Microsoft Office Word</Application>
  <DocSecurity>4</DocSecurity>
  <Lines>52</Lines>
  <Paragraphs>14</Paragraphs>
  <ScaleCrop>false</ScaleCrop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Sorrosal</dc:creator>
  <cp:keywords/>
  <dc:description/>
  <cp:lastModifiedBy>Kramarz Inga</cp:lastModifiedBy>
  <cp:revision>2</cp:revision>
  <dcterms:created xsi:type="dcterms:W3CDTF">2025-12-05T09:33:00Z</dcterms:created>
  <dcterms:modified xsi:type="dcterms:W3CDTF">2025-12-05T09:33:00Z</dcterms:modified>
</cp:coreProperties>
</file>